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58CF" w14:textId="1BD7604B" w:rsidR="00070D08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D759175" wp14:editId="1AD9B7B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50620" cy="9004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90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D65DA" w14:textId="197D8641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41DBD" w14:textId="7045C95A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D169A" w14:textId="77777777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90ED" w14:textId="77777777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5A6B" w14:textId="77777777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A7EE7" w14:textId="396FC4CA" w:rsidR="003C4873" w:rsidRPr="00582101" w:rsidRDefault="003C4873" w:rsidP="003C4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101">
        <w:rPr>
          <w:rFonts w:ascii="Times New Roman" w:hAnsi="Times New Roman" w:cs="Times New Roman"/>
          <w:b/>
          <w:bCs/>
          <w:sz w:val="24"/>
          <w:szCs w:val="24"/>
        </w:rPr>
        <w:t>Résultats de l’index égalité professionnelle</w:t>
      </w:r>
    </w:p>
    <w:p w14:paraId="262813C5" w14:textId="2E56510A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FCB4F" w14:textId="77777777" w:rsidR="00582101" w:rsidRDefault="00582101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AAF22" w14:textId="4D622019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73">
        <w:rPr>
          <w:rFonts w:ascii="Times New Roman" w:hAnsi="Times New Roman" w:cs="Times New Roman"/>
          <w:sz w:val="24"/>
          <w:szCs w:val="24"/>
        </w:rPr>
        <w:t>L’index égalité professionnelle a été instauré par la loi n°2023-623 du 19 juillet 2023 visant à renforcer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873">
        <w:rPr>
          <w:rFonts w:ascii="Times New Roman" w:hAnsi="Times New Roman" w:cs="Times New Roman"/>
          <w:sz w:val="24"/>
          <w:szCs w:val="24"/>
        </w:rPr>
        <w:t>l'accès des femmes aux responsabilités dans la fonction publique. Sa déclinaison au niveau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9B6">
        <w:rPr>
          <w:rFonts w:ascii="Times New Roman" w:hAnsi="Times New Roman" w:cs="Times New Roman"/>
          <w:sz w:val="24"/>
          <w:szCs w:val="24"/>
        </w:rPr>
        <w:t>f</w:t>
      </w:r>
      <w:r w:rsidRPr="003C4873">
        <w:rPr>
          <w:rFonts w:ascii="Times New Roman" w:hAnsi="Times New Roman" w:cs="Times New Roman"/>
          <w:sz w:val="24"/>
          <w:szCs w:val="24"/>
        </w:rPr>
        <w:t>onction publique</w:t>
      </w:r>
      <w:r>
        <w:rPr>
          <w:rFonts w:ascii="Times New Roman" w:hAnsi="Times New Roman" w:cs="Times New Roman"/>
          <w:sz w:val="24"/>
          <w:szCs w:val="24"/>
        </w:rPr>
        <w:t xml:space="preserve"> territoriale est fixée par deux décrets :</w:t>
      </w:r>
    </w:p>
    <w:p w14:paraId="4EE71D84" w14:textId="77777777" w:rsidR="003C4873" w:rsidRDefault="003C4873" w:rsidP="003C4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F50CE" w14:textId="56DDDB9A" w:rsidR="003C4873" w:rsidRDefault="003C4873" w:rsidP="003C48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73">
        <w:rPr>
          <w:rFonts w:ascii="Times New Roman" w:hAnsi="Times New Roman" w:cs="Times New Roman"/>
          <w:sz w:val="24"/>
          <w:szCs w:val="24"/>
        </w:rPr>
        <w:t>Décret n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3C4873">
        <w:rPr>
          <w:rFonts w:ascii="Times New Roman" w:hAnsi="Times New Roman" w:cs="Times New Roman"/>
          <w:sz w:val="24"/>
          <w:szCs w:val="24"/>
        </w:rPr>
        <w:t xml:space="preserve"> 2024-801 du 13 juillet 2024 relatif à la mesure et à la réduction des écarts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873">
        <w:rPr>
          <w:rFonts w:ascii="Times New Roman" w:hAnsi="Times New Roman" w:cs="Times New Roman"/>
          <w:sz w:val="24"/>
          <w:szCs w:val="24"/>
        </w:rPr>
        <w:t>de rémunération entre les femmes et les hommes dans la fonction publique territoriale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183E9643" w14:textId="0207D1C5" w:rsidR="003C4873" w:rsidRDefault="003C4873" w:rsidP="003C48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73">
        <w:rPr>
          <w:rFonts w:ascii="Times New Roman" w:hAnsi="Times New Roman" w:cs="Times New Roman"/>
          <w:sz w:val="24"/>
          <w:szCs w:val="24"/>
        </w:rPr>
        <w:t xml:space="preserve">Décret </w:t>
      </w:r>
      <w:r w:rsidR="00B335D6" w:rsidRPr="003C4873">
        <w:rPr>
          <w:rFonts w:ascii="Times New Roman" w:hAnsi="Times New Roman" w:cs="Times New Roman"/>
          <w:sz w:val="24"/>
          <w:szCs w:val="24"/>
        </w:rPr>
        <w:t>n</w:t>
      </w:r>
      <w:r w:rsidR="00B335D6">
        <w:rPr>
          <w:rFonts w:ascii="Times New Roman" w:hAnsi="Times New Roman" w:cs="Times New Roman"/>
          <w:sz w:val="24"/>
          <w:szCs w:val="24"/>
        </w:rPr>
        <w:t>°</w:t>
      </w:r>
      <w:r w:rsidR="00B335D6" w:rsidRPr="003C4873">
        <w:rPr>
          <w:rFonts w:ascii="Times New Roman" w:hAnsi="Times New Roman" w:cs="Times New Roman"/>
          <w:sz w:val="24"/>
          <w:szCs w:val="24"/>
        </w:rPr>
        <w:t xml:space="preserve"> </w:t>
      </w:r>
      <w:r w:rsidRPr="003C4873">
        <w:rPr>
          <w:rFonts w:ascii="Times New Roman" w:hAnsi="Times New Roman" w:cs="Times New Roman"/>
          <w:sz w:val="24"/>
          <w:szCs w:val="24"/>
        </w:rPr>
        <w:t>2024-802 du 13 juillet 2024 relatif aux modalités de calcul des indicateurs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873">
        <w:rPr>
          <w:rFonts w:ascii="Times New Roman" w:hAnsi="Times New Roman" w:cs="Times New Roman"/>
          <w:sz w:val="24"/>
          <w:szCs w:val="24"/>
        </w:rPr>
        <w:t>relatifs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873">
        <w:rPr>
          <w:rFonts w:ascii="Times New Roman" w:hAnsi="Times New Roman" w:cs="Times New Roman"/>
          <w:sz w:val="24"/>
          <w:szCs w:val="24"/>
        </w:rPr>
        <w:t>à la mesure et à la réduction des écarts de rémunération entre les femmes et les hommes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873">
        <w:rPr>
          <w:rFonts w:ascii="Times New Roman" w:hAnsi="Times New Roman" w:cs="Times New Roman"/>
          <w:sz w:val="24"/>
          <w:szCs w:val="24"/>
        </w:rPr>
        <w:t>la fonction publique territoriale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BC133" w14:textId="02E79371" w:rsidR="00354731" w:rsidRDefault="00354731" w:rsidP="00354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FFCA4" w14:textId="6B871213" w:rsidR="00354731" w:rsidRDefault="00354731" w:rsidP="00354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31">
        <w:rPr>
          <w:rFonts w:ascii="Times New Roman" w:hAnsi="Times New Roman" w:cs="Times New Roman"/>
          <w:sz w:val="24"/>
          <w:szCs w:val="24"/>
        </w:rPr>
        <w:t>Cet index se présente sous la forme d’une note sur 100 points avec une cible minimum à atteindre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731">
        <w:rPr>
          <w:rFonts w:ascii="Times New Roman" w:hAnsi="Times New Roman" w:cs="Times New Roman"/>
          <w:sz w:val="24"/>
          <w:szCs w:val="24"/>
        </w:rPr>
        <w:t xml:space="preserve">75 points. Il doit être publié chaque année sur le site internet de </w:t>
      </w:r>
      <w:r w:rsidR="00DE2F00">
        <w:rPr>
          <w:rFonts w:ascii="Times New Roman" w:hAnsi="Times New Roman" w:cs="Times New Roman"/>
          <w:sz w:val="24"/>
          <w:szCs w:val="24"/>
        </w:rPr>
        <w:t xml:space="preserve">la </w:t>
      </w:r>
      <w:r w:rsidR="00CA7D4A">
        <w:rPr>
          <w:rFonts w:ascii="Times New Roman" w:hAnsi="Times New Roman" w:cs="Times New Roman"/>
          <w:sz w:val="24"/>
          <w:szCs w:val="24"/>
        </w:rPr>
        <w:t>collectivité au</w:t>
      </w:r>
      <w:r w:rsidR="00DE2F00">
        <w:rPr>
          <w:rFonts w:ascii="Times New Roman" w:hAnsi="Times New Roman" w:cs="Times New Roman"/>
          <w:sz w:val="24"/>
          <w:szCs w:val="24"/>
        </w:rPr>
        <w:t xml:space="preserve"> plus tard le 30/09/2024 </w:t>
      </w:r>
      <w:r w:rsidRPr="00354731">
        <w:rPr>
          <w:rFonts w:ascii="Times New Roman" w:hAnsi="Times New Roman" w:cs="Times New Roman"/>
          <w:sz w:val="24"/>
          <w:szCs w:val="24"/>
        </w:rPr>
        <w:t xml:space="preserve">et transmis </w:t>
      </w:r>
      <w:r w:rsidR="00CE0504">
        <w:rPr>
          <w:rFonts w:ascii="Times New Roman" w:hAnsi="Times New Roman" w:cs="Times New Roman"/>
          <w:sz w:val="24"/>
          <w:szCs w:val="24"/>
        </w:rPr>
        <w:t>en préfecture</w:t>
      </w:r>
      <w:r w:rsidR="00DE2F00">
        <w:rPr>
          <w:rFonts w:ascii="Times New Roman" w:hAnsi="Times New Roman" w:cs="Times New Roman"/>
          <w:sz w:val="24"/>
          <w:szCs w:val="24"/>
        </w:rPr>
        <w:t xml:space="preserve"> au plus tard le 31/10/2024</w:t>
      </w:r>
      <w:r w:rsidRPr="00354731">
        <w:rPr>
          <w:rFonts w:ascii="Times New Roman" w:hAnsi="Times New Roman" w:cs="Times New Roman"/>
          <w:sz w:val="24"/>
          <w:szCs w:val="24"/>
        </w:rPr>
        <w:t>.</w:t>
      </w:r>
    </w:p>
    <w:p w14:paraId="0CFDC8E6" w14:textId="7F10E203" w:rsidR="00C03814" w:rsidRDefault="00C03814" w:rsidP="00354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EB3E7" w14:textId="60EBC694" w:rsidR="00533CDE" w:rsidRPr="00533CDE" w:rsidRDefault="00533CDE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DE">
        <w:rPr>
          <w:rFonts w:ascii="Times New Roman" w:hAnsi="Times New Roman" w:cs="Times New Roman"/>
          <w:sz w:val="24"/>
          <w:szCs w:val="24"/>
        </w:rPr>
        <w:t xml:space="preserve">L’index égalité professionnelle est composé de </w:t>
      </w:r>
      <w:r w:rsidR="00F728D5">
        <w:rPr>
          <w:rFonts w:ascii="Times New Roman" w:hAnsi="Times New Roman" w:cs="Times New Roman"/>
          <w:sz w:val="24"/>
          <w:szCs w:val="24"/>
        </w:rPr>
        <w:t>4</w:t>
      </w:r>
      <w:r w:rsidRPr="00533CDE">
        <w:rPr>
          <w:rFonts w:ascii="Times New Roman" w:hAnsi="Times New Roman" w:cs="Times New Roman"/>
          <w:sz w:val="24"/>
          <w:szCs w:val="24"/>
        </w:rPr>
        <w:t xml:space="preserve"> indicateurs assortis d’une pondération et d’un barème.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03F" w:rsidRPr="002219B6">
        <w:rPr>
          <w:rFonts w:ascii="Times New Roman" w:hAnsi="Times New Roman" w:cs="Times New Roman"/>
          <w:sz w:val="24"/>
          <w:szCs w:val="24"/>
        </w:rPr>
        <w:t>L’</w:t>
      </w:r>
      <w:r w:rsidRPr="002219B6">
        <w:rPr>
          <w:rFonts w:ascii="Times New Roman" w:hAnsi="Times New Roman" w:cs="Times New Roman"/>
          <w:sz w:val="24"/>
          <w:szCs w:val="24"/>
        </w:rPr>
        <w:t xml:space="preserve">écart </w:t>
      </w:r>
      <w:r w:rsidR="0027703F" w:rsidRPr="002219B6">
        <w:rPr>
          <w:rFonts w:ascii="Times New Roman" w:hAnsi="Times New Roman" w:cs="Times New Roman"/>
          <w:sz w:val="24"/>
          <w:szCs w:val="24"/>
        </w:rPr>
        <w:t xml:space="preserve">global </w:t>
      </w:r>
      <w:r w:rsidRPr="002219B6">
        <w:rPr>
          <w:rFonts w:ascii="Times New Roman" w:hAnsi="Times New Roman" w:cs="Times New Roman"/>
          <w:sz w:val="24"/>
          <w:szCs w:val="24"/>
        </w:rPr>
        <w:t>de rémunération entre les femmes et les hommes</w:t>
      </w:r>
      <w:r w:rsidR="0027703F" w:rsidRPr="002219B6">
        <w:rPr>
          <w:rFonts w:ascii="Times New Roman" w:hAnsi="Times New Roman" w:cs="Times New Roman"/>
          <w:sz w:val="24"/>
          <w:szCs w:val="24"/>
        </w:rPr>
        <w:t xml:space="preserve"> pour les fonctionnaires</w:t>
      </w:r>
      <w:r w:rsidRPr="002219B6">
        <w:rPr>
          <w:rFonts w:ascii="Times New Roman" w:hAnsi="Times New Roman" w:cs="Times New Roman"/>
          <w:sz w:val="24"/>
          <w:szCs w:val="24"/>
        </w:rPr>
        <w:t xml:space="preserve"> compte pour la moitié de la note (50 points)</w:t>
      </w:r>
      <w:r w:rsidR="002219B6" w:rsidRPr="002219B6">
        <w:rPr>
          <w:rFonts w:ascii="Times New Roman" w:hAnsi="Times New Roman" w:cs="Times New Roman"/>
          <w:sz w:val="24"/>
          <w:szCs w:val="24"/>
        </w:rPr>
        <w:t>. L</w:t>
      </w:r>
      <w:r w:rsidR="0027703F" w:rsidRPr="002219B6">
        <w:rPr>
          <w:rFonts w:ascii="Times New Roman" w:hAnsi="Times New Roman" w:cs="Times New Roman"/>
          <w:sz w:val="24"/>
          <w:szCs w:val="24"/>
        </w:rPr>
        <w:t>’écart</w:t>
      </w:r>
      <w:r w:rsidRPr="002219B6">
        <w:rPr>
          <w:rFonts w:ascii="Times New Roman" w:hAnsi="Times New Roman" w:cs="Times New Roman"/>
          <w:sz w:val="24"/>
          <w:szCs w:val="24"/>
        </w:rPr>
        <w:t xml:space="preserve"> </w:t>
      </w:r>
      <w:r w:rsidR="002219B6" w:rsidRPr="002219B6">
        <w:rPr>
          <w:rFonts w:ascii="Times New Roman" w:hAnsi="Times New Roman" w:cs="Times New Roman"/>
          <w:sz w:val="24"/>
          <w:szCs w:val="24"/>
        </w:rPr>
        <w:t xml:space="preserve">global de rémunération entre les femmes et les hommes pour les agents contractuels </w:t>
      </w:r>
      <w:r w:rsidR="006E24DD">
        <w:rPr>
          <w:rFonts w:ascii="Times New Roman" w:hAnsi="Times New Roman" w:cs="Times New Roman"/>
          <w:sz w:val="24"/>
          <w:szCs w:val="24"/>
        </w:rPr>
        <w:t>est de</w:t>
      </w:r>
      <w:r w:rsidR="002219B6" w:rsidRPr="002219B6">
        <w:rPr>
          <w:rFonts w:ascii="Times New Roman" w:hAnsi="Times New Roman" w:cs="Times New Roman"/>
          <w:sz w:val="24"/>
          <w:szCs w:val="24"/>
        </w:rPr>
        <w:t xml:space="preserve"> 15 points. L’</w:t>
      </w:r>
      <w:r w:rsidRPr="002219B6">
        <w:rPr>
          <w:rFonts w:ascii="Times New Roman" w:hAnsi="Times New Roman" w:cs="Times New Roman"/>
          <w:sz w:val="24"/>
          <w:szCs w:val="24"/>
        </w:rPr>
        <w:t>écart</w:t>
      </w:r>
      <w:r w:rsidR="002219B6" w:rsidRPr="002219B6">
        <w:rPr>
          <w:rFonts w:ascii="Times New Roman" w:hAnsi="Times New Roman" w:cs="Times New Roman"/>
          <w:sz w:val="24"/>
          <w:szCs w:val="24"/>
        </w:rPr>
        <w:t xml:space="preserve"> de taux de promotion de grade entre les femmes et les hommes </w:t>
      </w:r>
      <w:r w:rsidR="006E24DD">
        <w:rPr>
          <w:rFonts w:ascii="Times New Roman" w:hAnsi="Times New Roman" w:cs="Times New Roman"/>
          <w:sz w:val="24"/>
          <w:szCs w:val="24"/>
        </w:rPr>
        <w:t xml:space="preserve">compte </w:t>
      </w:r>
      <w:r w:rsidR="002219B6" w:rsidRPr="002219B6">
        <w:rPr>
          <w:rFonts w:ascii="Times New Roman" w:hAnsi="Times New Roman" w:cs="Times New Roman"/>
          <w:sz w:val="24"/>
          <w:szCs w:val="24"/>
        </w:rPr>
        <w:t>pour 25 points. Enfin, le nombre d’agents publics du sexe sous-représenté parmi les dix agents publics ayant perçu les plus hautes rémunérations pour 10 points</w:t>
      </w:r>
      <w:r w:rsidRPr="002219B6">
        <w:rPr>
          <w:rFonts w:ascii="Times New Roman" w:hAnsi="Times New Roman" w:cs="Times New Roman"/>
          <w:sz w:val="24"/>
          <w:szCs w:val="24"/>
        </w:rPr>
        <w:t>.</w:t>
      </w:r>
    </w:p>
    <w:p w14:paraId="47A3682F" w14:textId="77777777" w:rsidR="00533CDE" w:rsidRDefault="00533CDE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E6545" w14:textId="77777777" w:rsidR="002219B6" w:rsidRDefault="002219B6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9A5C" w14:textId="77777777" w:rsidR="00533CDE" w:rsidRDefault="00533CDE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21DF" w14:textId="61387EB1" w:rsidR="00533CDE" w:rsidRPr="002219B6" w:rsidRDefault="00533CDE" w:rsidP="00221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9B6">
        <w:rPr>
          <w:rFonts w:ascii="Times New Roman" w:hAnsi="Times New Roman" w:cs="Times New Roman"/>
          <w:b/>
          <w:bCs/>
          <w:sz w:val="24"/>
          <w:szCs w:val="24"/>
        </w:rPr>
        <w:t>Au titre de l’année 202</w:t>
      </w:r>
      <w:r w:rsidR="002219B6" w:rsidRPr="002219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219B6">
        <w:rPr>
          <w:rFonts w:ascii="Times New Roman" w:hAnsi="Times New Roman" w:cs="Times New Roman"/>
          <w:b/>
          <w:bCs/>
          <w:sz w:val="24"/>
          <w:szCs w:val="24"/>
        </w:rPr>
        <w:t>, l’index égalité professionnelle de la Région Réunion atteint le score de</w:t>
      </w:r>
      <w:r w:rsidR="008900FB">
        <w:rPr>
          <w:rFonts w:ascii="Times New Roman" w:hAnsi="Times New Roman" w:cs="Times New Roman"/>
          <w:b/>
          <w:bCs/>
          <w:sz w:val="24"/>
          <w:szCs w:val="24"/>
        </w:rPr>
        <w:t xml:space="preserve"> 89</w:t>
      </w:r>
      <w:r w:rsidRPr="002219B6">
        <w:rPr>
          <w:rFonts w:ascii="Times New Roman" w:hAnsi="Times New Roman" w:cs="Times New Roman"/>
          <w:b/>
          <w:bCs/>
          <w:sz w:val="24"/>
          <w:szCs w:val="24"/>
        </w:rPr>
        <w:t xml:space="preserve"> points sur 100.</w:t>
      </w:r>
    </w:p>
    <w:p w14:paraId="1922AA14" w14:textId="77777777" w:rsidR="00533CDE" w:rsidRDefault="00533CDE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52025" w14:textId="77777777" w:rsidR="002219B6" w:rsidRDefault="002219B6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B91B7" w14:textId="6C4FDA43" w:rsidR="00C03814" w:rsidRDefault="00533CDE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CDE">
        <w:rPr>
          <w:rFonts w:ascii="Times New Roman" w:hAnsi="Times New Roman" w:cs="Times New Roman"/>
          <w:sz w:val="24"/>
          <w:szCs w:val="24"/>
        </w:rPr>
        <w:t>Les résultats obtenus pour chaque indicateur sont présentés en détail dans le tableau page suivante.</w:t>
      </w:r>
    </w:p>
    <w:p w14:paraId="405EFDC8" w14:textId="173AC7C9" w:rsidR="00533CDE" w:rsidRDefault="00533CDE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BAABB" w14:textId="5E61A2D2" w:rsidR="003A2349" w:rsidRDefault="003A2349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7CA00" w14:textId="45CD36BE" w:rsidR="003A2349" w:rsidRDefault="003A2349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A0192" w14:textId="36912E37" w:rsidR="003A2349" w:rsidRDefault="003A2349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619" w14:textId="55CF3C4D" w:rsidR="00B715F3" w:rsidRDefault="00B715F3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2C25" w14:textId="342F3693" w:rsidR="000B2311" w:rsidRDefault="000B2311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D628C" w14:textId="3DCA50BA" w:rsidR="000B2311" w:rsidRDefault="000B2311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7CE6F" w14:textId="16072A28" w:rsidR="000B2311" w:rsidRDefault="000B2311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8EBFE" w14:textId="21B2303D" w:rsidR="000B2311" w:rsidRDefault="000B2311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5A25" w14:textId="051C09F2" w:rsidR="000B2311" w:rsidRDefault="000B2311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64DDA" w14:textId="77777777" w:rsidR="000B2311" w:rsidRDefault="000B2311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99619" w14:textId="349FEBC3" w:rsidR="00B715F3" w:rsidRDefault="00B715F3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477E5" w14:textId="77777777" w:rsidR="00B715F3" w:rsidRDefault="00B715F3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F1117" w14:textId="7B9F5500" w:rsidR="003A2349" w:rsidRDefault="003A2349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73783" w14:textId="31017D61" w:rsidR="003A2349" w:rsidRPr="003A2349" w:rsidRDefault="003A2349" w:rsidP="003A2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349">
        <w:rPr>
          <w:rFonts w:ascii="Times New Roman" w:hAnsi="Times New Roman" w:cs="Times New Roman"/>
          <w:b/>
          <w:bCs/>
          <w:sz w:val="24"/>
          <w:szCs w:val="24"/>
        </w:rPr>
        <w:t>Résultats de l’index égalité professionnelles de la Région Réunion (202</w:t>
      </w:r>
      <w:r w:rsidR="00FA5D8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23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3C33C5" w14:textId="619AD65E" w:rsidR="003A2349" w:rsidRDefault="003A2349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370" w:type="dxa"/>
        <w:tblLook w:val="04A0" w:firstRow="1" w:lastRow="0" w:firstColumn="1" w:lastColumn="0" w:noHBand="0" w:noVBand="1"/>
      </w:tblPr>
      <w:tblGrid>
        <w:gridCol w:w="1726"/>
        <w:gridCol w:w="1906"/>
        <w:gridCol w:w="1801"/>
        <w:gridCol w:w="2467"/>
        <w:gridCol w:w="1470"/>
      </w:tblGrid>
      <w:tr w:rsidR="002219B6" w14:paraId="650AF45F" w14:textId="77777777" w:rsidTr="002219B6">
        <w:trPr>
          <w:trHeight w:val="588"/>
        </w:trPr>
        <w:tc>
          <w:tcPr>
            <w:tcW w:w="1726" w:type="dxa"/>
            <w:shd w:val="clear" w:color="auto" w:fill="D9D9D9" w:themeFill="background1" w:themeFillShade="D9"/>
          </w:tcPr>
          <w:p w14:paraId="576032F7" w14:textId="0C0C281A" w:rsidR="002219B6" w:rsidRPr="003A2349" w:rsidRDefault="002219B6" w:rsidP="003A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090119D" w14:textId="532C95FE" w:rsidR="002219B6" w:rsidRPr="003A2349" w:rsidRDefault="002219B6" w:rsidP="003A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Intitulé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2006C61" w14:textId="6C1466F8" w:rsidR="002219B6" w:rsidRPr="003A2349" w:rsidRDefault="002219B6" w:rsidP="003A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Modalités de calcul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4E2F6C9F" w14:textId="54AE58A4" w:rsidR="002219B6" w:rsidRPr="003A2349" w:rsidRDefault="002219B6" w:rsidP="003A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Barème (pondération/100)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C66F67E" w14:textId="03E46ABB" w:rsidR="002219B6" w:rsidRPr="003A2349" w:rsidRDefault="002219B6" w:rsidP="003A2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 obtenue</w:t>
            </w:r>
          </w:p>
        </w:tc>
      </w:tr>
      <w:tr w:rsidR="002219B6" w14:paraId="4E241372" w14:textId="77777777" w:rsidTr="002219B6">
        <w:trPr>
          <w:trHeight w:val="2402"/>
        </w:trPr>
        <w:tc>
          <w:tcPr>
            <w:tcW w:w="1726" w:type="dxa"/>
            <w:vAlign w:val="center"/>
          </w:tcPr>
          <w:p w14:paraId="704DCDFB" w14:textId="3E3C91D5" w:rsidR="002219B6" w:rsidRPr="003A2349" w:rsidRDefault="002219B6" w:rsidP="00FC3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 n°1</w:t>
            </w:r>
          </w:p>
        </w:tc>
        <w:tc>
          <w:tcPr>
            <w:tcW w:w="1906" w:type="dxa"/>
            <w:vAlign w:val="center"/>
          </w:tcPr>
          <w:p w14:paraId="26EE4E82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Ecart global de</w:t>
            </w:r>
          </w:p>
          <w:p w14:paraId="1F46896D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rémunération</w:t>
            </w:r>
          </w:p>
          <w:p w14:paraId="7012D6EA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entre les</w:t>
            </w:r>
          </w:p>
          <w:p w14:paraId="1DCBB151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femmes et les</w:t>
            </w:r>
          </w:p>
          <w:p w14:paraId="2A5E2FE4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hommes pour</w:t>
            </w:r>
          </w:p>
          <w:p w14:paraId="7A6011E5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  <w:p w14:paraId="73E3FE7B" w14:textId="529B76C0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fonctionnaires</w:t>
            </w:r>
          </w:p>
        </w:tc>
        <w:tc>
          <w:tcPr>
            <w:tcW w:w="1801" w:type="dxa"/>
            <w:vAlign w:val="center"/>
          </w:tcPr>
          <w:p w14:paraId="6B984457" w14:textId="77777777" w:rsidR="002219B6" w:rsidRPr="00FC3B5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Ecart de</w:t>
            </w:r>
          </w:p>
          <w:p w14:paraId="490CC730" w14:textId="77777777" w:rsidR="00E44028" w:rsidRPr="00FC3B56" w:rsidRDefault="00E44028" w:rsidP="00E4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rémunération</w:t>
            </w:r>
          </w:p>
          <w:p w14:paraId="741DA38B" w14:textId="77777777" w:rsidR="002219B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C6F4" w14:textId="77777777" w:rsidR="002219B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300E" w14:textId="3017F752" w:rsidR="002219B6" w:rsidRPr="00FC3B5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(Source :</w:t>
            </w:r>
          </w:p>
          <w:p w14:paraId="0CA6AEE5" w14:textId="7B8BE369" w:rsidR="002219B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fichier de paie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7" w:type="dxa"/>
            <w:vAlign w:val="center"/>
          </w:tcPr>
          <w:p w14:paraId="46A2F2B9" w14:textId="7BDC0464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vAlign w:val="center"/>
          </w:tcPr>
          <w:p w14:paraId="744675DA" w14:textId="720C5285" w:rsidR="002219B6" w:rsidRDefault="002226C2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19B6" w14:paraId="4860DCB0" w14:textId="77777777" w:rsidTr="002219B6">
        <w:trPr>
          <w:trHeight w:val="2402"/>
        </w:trPr>
        <w:tc>
          <w:tcPr>
            <w:tcW w:w="1726" w:type="dxa"/>
            <w:vAlign w:val="center"/>
          </w:tcPr>
          <w:p w14:paraId="590AE1F1" w14:textId="6221C3EB" w:rsidR="002219B6" w:rsidRPr="003A2349" w:rsidRDefault="002219B6" w:rsidP="00FC3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 n°2</w:t>
            </w:r>
          </w:p>
        </w:tc>
        <w:tc>
          <w:tcPr>
            <w:tcW w:w="1906" w:type="dxa"/>
            <w:vAlign w:val="center"/>
          </w:tcPr>
          <w:p w14:paraId="2EE9B968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Ecart global de</w:t>
            </w:r>
          </w:p>
          <w:p w14:paraId="577AA0DF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rémunération</w:t>
            </w:r>
          </w:p>
          <w:p w14:paraId="167A7FE7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entre les</w:t>
            </w:r>
          </w:p>
          <w:p w14:paraId="7489822D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femmes et les</w:t>
            </w:r>
          </w:p>
          <w:p w14:paraId="5A540091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hommes pour</w:t>
            </w:r>
          </w:p>
          <w:p w14:paraId="63A69D34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les agents</w:t>
            </w:r>
          </w:p>
          <w:p w14:paraId="118AB91D" w14:textId="09E9CEA0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contractuels</w:t>
            </w:r>
          </w:p>
        </w:tc>
        <w:tc>
          <w:tcPr>
            <w:tcW w:w="1801" w:type="dxa"/>
            <w:vAlign w:val="center"/>
          </w:tcPr>
          <w:p w14:paraId="26E7E047" w14:textId="77777777" w:rsidR="002219B6" w:rsidRPr="00FC3B5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Ecart de</w:t>
            </w:r>
          </w:p>
          <w:p w14:paraId="2893D5B1" w14:textId="77777777" w:rsidR="002219B6" w:rsidRPr="00FC3B5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rémunération</w:t>
            </w:r>
          </w:p>
          <w:p w14:paraId="4A79AF3B" w14:textId="34AC2717" w:rsidR="002219B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80D7" w14:textId="20F25CAC" w:rsidR="002219B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FE8A" w14:textId="77777777" w:rsidR="002219B6" w:rsidRPr="00FC3B5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452A9" w14:textId="77777777" w:rsidR="002219B6" w:rsidRPr="00FC3B5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(Source :</w:t>
            </w:r>
          </w:p>
          <w:p w14:paraId="11EC49DB" w14:textId="1C4180A7" w:rsidR="002219B6" w:rsidRDefault="002219B6" w:rsidP="002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fichier de paie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7" w:type="dxa"/>
            <w:vAlign w:val="center"/>
          </w:tcPr>
          <w:p w14:paraId="39049E54" w14:textId="638020F7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vAlign w:val="center"/>
          </w:tcPr>
          <w:p w14:paraId="013AD097" w14:textId="2A2908EE" w:rsidR="002219B6" w:rsidRDefault="002226C2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19B6" w14:paraId="54B839E8" w14:textId="77777777" w:rsidTr="002219B6">
        <w:trPr>
          <w:trHeight w:val="2108"/>
        </w:trPr>
        <w:tc>
          <w:tcPr>
            <w:tcW w:w="1726" w:type="dxa"/>
            <w:vAlign w:val="center"/>
          </w:tcPr>
          <w:p w14:paraId="46FF2FBE" w14:textId="5ABD6711" w:rsidR="002219B6" w:rsidRPr="003A2349" w:rsidRDefault="002219B6" w:rsidP="00FC3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 n°3</w:t>
            </w:r>
          </w:p>
        </w:tc>
        <w:tc>
          <w:tcPr>
            <w:tcW w:w="1906" w:type="dxa"/>
            <w:vAlign w:val="center"/>
          </w:tcPr>
          <w:p w14:paraId="399F0007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Ecart de taux de</w:t>
            </w:r>
          </w:p>
          <w:p w14:paraId="23D0CEEE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promotion de</w:t>
            </w:r>
          </w:p>
          <w:p w14:paraId="1C9F57C1" w14:textId="20A6F9FA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 xml:space="preserve"> entre les</w:t>
            </w:r>
          </w:p>
          <w:p w14:paraId="27F6520B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femmes et les</w:t>
            </w:r>
          </w:p>
          <w:p w14:paraId="46D76F3A" w14:textId="2FB63C0D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hommes</w:t>
            </w:r>
          </w:p>
        </w:tc>
        <w:tc>
          <w:tcPr>
            <w:tcW w:w="1801" w:type="dxa"/>
            <w:vAlign w:val="center"/>
          </w:tcPr>
          <w:p w14:paraId="5191CB3A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Source :</w:t>
            </w:r>
          </w:p>
          <w:p w14:paraId="612E51ED" w14:textId="035717A3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rapport social</w:t>
            </w:r>
          </w:p>
          <w:p w14:paraId="51D2F0CA" w14:textId="4909D37A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</w:p>
        </w:tc>
        <w:tc>
          <w:tcPr>
            <w:tcW w:w="2467" w:type="dxa"/>
            <w:vAlign w:val="center"/>
          </w:tcPr>
          <w:p w14:paraId="6D610A43" w14:textId="7DE791EF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vAlign w:val="center"/>
          </w:tcPr>
          <w:p w14:paraId="3ED38C40" w14:textId="0CC8B3A4" w:rsidR="002219B6" w:rsidRDefault="002226C2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19B6" w14:paraId="57ABAD0D" w14:textId="77777777" w:rsidTr="002219B6">
        <w:trPr>
          <w:trHeight w:val="2990"/>
        </w:trPr>
        <w:tc>
          <w:tcPr>
            <w:tcW w:w="1726" w:type="dxa"/>
            <w:vAlign w:val="center"/>
          </w:tcPr>
          <w:p w14:paraId="3A925E23" w14:textId="3B2078E2" w:rsidR="002219B6" w:rsidRPr="003A2349" w:rsidRDefault="002219B6" w:rsidP="00FC3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Indicateur n°4</w:t>
            </w:r>
          </w:p>
        </w:tc>
        <w:tc>
          <w:tcPr>
            <w:tcW w:w="1906" w:type="dxa"/>
            <w:vAlign w:val="center"/>
          </w:tcPr>
          <w:p w14:paraId="02A7653E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  <w:p w14:paraId="6AE3BD15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d’agents publics</w:t>
            </w:r>
          </w:p>
          <w:p w14:paraId="3DD9CC5D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du sexe sous-</w:t>
            </w:r>
          </w:p>
          <w:p w14:paraId="6781CE65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représenté</w:t>
            </w:r>
          </w:p>
          <w:p w14:paraId="79D7E4E2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parmi les 10</w:t>
            </w:r>
          </w:p>
          <w:p w14:paraId="6A74BD64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agents ayant</w:t>
            </w:r>
          </w:p>
          <w:p w14:paraId="1B9298F2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perçu les +</w:t>
            </w:r>
          </w:p>
          <w:p w14:paraId="620239CE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hautes</w:t>
            </w:r>
          </w:p>
          <w:p w14:paraId="1C322AED" w14:textId="0A706F07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rémunérations</w:t>
            </w:r>
          </w:p>
        </w:tc>
        <w:tc>
          <w:tcPr>
            <w:tcW w:w="1801" w:type="dxa"/>
            <w:vAlign w:val="center"/>
          </w:tcPr>
          <w:p w14:paraId="27C8FE39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Source :</w:t>
            </w:r>
          </w:p>
          <w:p w14:paraId="64CDA4B3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rapport social</w:t>
            </w:r>
          </w:p>
          <w:p w14:paraId="4BA58124" w14:textId="4034589E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56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</w:p>
        </w:tc>
        <w:tc>
          <w:tcPr>
            <w:tcW w:w="2467" w:type="dxa"/>
            <w:vAlign w:val="center"/>
          </w:tcPr>
          <w:p w14:paraId="7AF74F3F" w14:textId="3C59F0F2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vAlign w:val="center"/>
          </w:tcPr>
          <w:p w14:paraId="7CA817F3" w14:textId="0AA040F3" w:rsidR="002219B6" w:rsidRDefault="002226C2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19B6" w14:paraId="4F0C2877" w14:textId="77777777" w:rsidTr="002219B6">
        <w:trPr>
          <w:trHeight w:val="898"/>
        </w:trPr>
        <w:tc>
          <w:tcPr>
            <w:tcW w:w="1726" w:type="dxa"/>
            <w:vAlign w:val="center"/>
          </w:tcPr>
          <w:p w14:paraId="3BBBDBBF" w14:textId="1B000521" w:rsidR="002219B6" w:rsidRPr="00582101" w:rsidRDefault="002219B6" w:rsidP="0058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8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ndex EP</w:t>
            </w:r>
          </w:p>
          <w:p w14:paraId="02F5E4C7" w14:textId="77777777" w:rsidR="002219B6" w:rsidRDefault="002219B6" w:rsidP="0058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(total)</w:t>
            </w:r>
          </w:p>
          <w:p w14:paraId="70869EE1" w14:textId="23FED9CA" w:rsidR="002219B6" w:rsidRPr="003A2349" w:rsidRDefault="002219B6" w:rsidP="0058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778A0FB3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068950E0" w14:textId="77777777" w:rsidR="002219B6" w:rsidRPr="00FC3B5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088CDC8C" w14:textId="04C8BCC7" w:rsidR="002219B6" w:rsidRDefault="002219B6" w:rsidP="00FC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vAlign w:val="center"/>
          </w:tcPr>
          <w:p w14:paraId="1EF59970" w14:textId="2B13E551" w:rsidR="002219B6" w:rsidRPr="00582101" w:rsidRDefault="002226C2" w:rsidP="00FC3B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</w:tbl>
    <w:p w14:paraId="0C1ED122" w14:textId="77777777" w:rsidR="003A2349" w:rsidRPr="00354731" w:rsidRDefault="003A2349" w:rsidP="0053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2349" w:rsidRPr="0035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1FB"/>
    <w:multiLevelType w:val="hybridMultilevel"/>
    <w:tmpl w:val="C37CEAD2"/>
    <w:lvl w:ilvl="0" w:tplc="DD1AC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3"/>
    <w:rsid w:val="000043B9"/>
    <w:rsid w:val="00070D08"/>
    <w:rsid w:val="000B2311"/>
    <w:rsid w:val="000C1028"/>
    <w:rsid w:val="002219B6"/>
    <w:rsid w:val="002226C2"/>
    <w:rsid w:val="0027703F"/>
    <w:rsid w:val="00354731"/>
    <w:rsid w:val="003A2349"/>
    <w:rsid w:val="003C4873"/>
    <w:rsid w:val="005066E1"/>
    <w:rsid w:val="00533CDE"/>
    <w:rsid w:val="00582101"/>
    <w:rsid w:val="006E24DD"/>
    <w:rsid w:val="008900FB"/>
    <w:rsid w:val="00B335D6"/>
    <w:rsid w:val="00B715F3"/>
    <w:rsid w:val="00C03814"/>
    <w:rsid w:val="00C87482"/>
    <w:rsid w:val="00CA7D4A"/>
    <w:rsid w:val="00CE0504"/>
    <w:rsid w:val="00DE2F00"/>
    <w:rsid w:val="00E44028"/>
    <w:rsid w:val="00F728D5"/>
    <w:rsid w:val="00FA5D8E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3A7A"/>
  <w15:chartTrackingRefBased/>
  <w15:docId w15:val="{EF97E9E0-1CD2-45FD-905C-634025CA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48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Reunion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DUMONT</dc:creator>
  <cp:keywords/>
  <dc:description/>
  <cp:lastModifiedBy>Elisa LAGOURDE</cp:lastModifiedBy>
  <cp:revision>15</cp:revision>
  <dcterms:created xsi:type="dcterms:W3CDTF">2024-09-09T09:53:00Z</dcterms:created>
  <dcterms:modified xsi:type="dcterms:W3CDTF">2024-09-18T05:33:00Z</dcterms:modified>
</cp:coreProperties>
</file>