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B0A9" w14:textId="77777777" w:rsidR="00205F7F" w:rsidRDefault="00D23D80">
      <w:pPr>
        <w:tabs>
          <w:tab w:val="left" w:pos="1134"/>
        </w:tabs>
        <w:ind w:right="-2"/>
        <w:rPr>
          <w:rFonts w:ascii="Century Gothic" w:hAnsi="Century Gothic" w:cs="Bookman Old Style"/>
          <w:b/>
          <w:color w:val="000000"/>
          <w:sz w:val="32"/>
          <w:szCs w:val="32"/>
        </w:rPr>
      </w:pPr>
      <w:r>
        <w:rPr>
          <w:rFonts w:ascii="Century Gothic" w:hAnsi="Century Gothic" w:cs="Bookman Old Style"/>
          <w:b/>
          <w:noProof/>
          <w:color w:val="000000"/>
          <w:sz w:val="32"/>
          <w:szCs w:val="32"/>
        </w:rPr>
        <w:drawing>
          <wp:anchor distT="6350" distB="6350" distL="6350" distR="6350" simplePos="0" relativeHeight="3" behindDoc="0" locked="0" layoutInCell="0" allowOverlap="1" wp14:anchorId="264ED1D2" wp14:editId="38D43623">
            <wp:simplePos x="0" y="0"/>
            <wp:positionH relativeFrom="column">
              <wp:posOffset>4413885</wp:posOffset>
            </wp:positionH>
            <wp:positionV relativeFrom="paragraph">
              <wp:posOffset>-14605</wp:posOffset>
            </wp:positionV>
            <wp:extent cx="1486535" cy="1153160"/>
            <wp:effectExtent l="0" t="0" r="0" b="0"/>
            <wp:wrapSquare wrapText="bothSides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Bookman Old Style"/>
          <w:b/>
          <w:noProof/>
          <w:color w:val="000000"/>
          <w:sz w:val="32"/>
          <w:szCs w:val="32"/>
        </w:rPr>
        <w:drawing>
          <wp:anchor distT="6350" distB="6350" distL="6350" distR="6350" simplePos="0" relativeHeight="2" behindDoc="0" locked="0" layoutInCell="0" allowOverlap="1" wp14:anchorId="402DB62E" wp14:editId="34B2D7E8">
            <wp:simplePos x="0" y="0"/>
            <wp:positionH relativeFrom="page">
              <wp:posOffset>1025525</wp:posOffset>
            </wp:positionH>
            <wp:positionV relativeFrom="page">
              <wp:posOffset>679450</wp:posOffset>
            </wp:positionV>
            <wp:extent cx="1784985" cy="118110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Bookman Old Style"/>
          <w:b/>
          <w:noProof/>
          <w:color w:val="000000"/>
          <w:sz w:val="32"/>
          <w:szCs w:val="32"/>
        </w:rPr>
        <w:drawing>
          <wp:anchor distT="6350" distB="6350" distL="6350" distR="6350" simplePos="0" relativeHeight="4" behindDoc="0" locked="0" layoutInCell="0" allowOverlap="1" wp14:anchorId="4C11A6EA" wp14:editId="5C3D2B5C">
            <wp:simplePos x="0" y="0"/>
            <wp:positionH relativeFrom="page">
              <wp:posOffset>924560</wp:posOffset>
            </wp:positionH>
            <wp:positionV relativeFrom="page">
              <wp:posOffset>4422775</wp:posOffset>
            </wp:positionV>
            <wp:extent cx="5737860" cy="4301490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3052E" w14:textId="77777777" w:rsidR="00205F7F" w:rsidRDefault="00205F7F">
      <w:pPr>
        <w:tabs>
          <w:tab w:val="left" w:pos="1134"/>
        </w:tabs>
        <w:ind w:right="-2"/>
        <w:rPr>
          <w:rFonts w:ascii="Century Gothic" w:hAnsi="Century Gothic" w:cs="Bookman Old Style"/>
          <w:b/>
          <w:color w:val="000000"/>
          <w:sz w:val="32"/>
          <w:szCs w:val="32"/>
        </w:rPr>
      </w:pPr>
    </w:p>
    <w:p w14:paraId="50DAA1FB" w14:textId="77777777" w:rsidR="00205F7F" w:rsidRDefault="00205F7F">
      <w:pPr>
        <w:tabs>
          <w:tab w:val="left" w:pos="1134"/>
        </w:tabs>
        <w:ind w:right="-2"/>
        <w:rPr>
          <w:rFonts w:ascii="Century Gothic" w:hAnsi="Century Gothic" w:cs="Bookman Old Style"/>
          <w:b/>
          <w:color w:val="000000"/>
          <w:sz w:val="32"/>
          <w:szCs w:val="32"/>
        </w:rPr>
      </w:pPr>
    </w:p>
    <w:p w14:paraId="6E850614" w14:textId="77777777" w:rsidR="00205F7F" w:rsidRDefault="00205F7F">
      <w:pPr>
        <w:tabs>
          <w:tab w:val="left" w:pos="1134"/>
        </w:tabs>
        <w:ind w:right="-2"/>
        <w:rPr>
          <w:rFonts w:ascii="Century Gothic" w:hAnsi="Century Gothic" w:cs="Bookman Old Style"/>
          <w:b/>
          <w:color w:val="000000"/>
          <w:sz w:val="32"/>
          <w:szCs w:val="32"/>
        </w:rPr>
      </w:pPr>
    </w:p>
    <w:p w14:paraId="00471CB0" w14:textId="77777777" w:rsidR="00205F7F" w:rsidRDefault="00205F7F">
      <w:pPr>
        <w:tabs>
          <w:tab w:val="left" w:pos="1134"/>
        </w:tabs>
        <w:ind w:right="-2"/>
        <w:rPr>
          <w:rFonts w:ascii="Century Gothic" w:hAnsi="Century Gothic" w:cs="Bookman Old Style"/>
          <w:b/>
          <w:color w:val="000000"/>
          <w:sz w:val="22"/>
          <w:szCs w:val="22"/>
        </w:rPr>
      </w:pPr>
    </w:p>
    <w:p w14:paraId="4324434F" w14:textId="77777777" w:rsidR="00205F7F" w:rsidRDefault="00205F7F">
      <w:pPr>
        <w:tabs>
          <w:tab w:val="left" w:pos="1134"/>
        </w:tabs>
        <w:ind w:right="-2"/>
        <w:jc w:val="right"/>
        <w:rPr>
          <w:rFonts w:ascii="Century Gothic" w:hAnsi="Century Gothic" w:cs="Bookman Old Style"/>
          <w:b/>
          <w:color w:val="000000"/>
          <w:sz w:val="22"/>
          <w:szCs w:val="22"/>
        </w:rPr>
      </w:pPr>
    </w:p>
    <w:p w14:paraId="61371074" w14:textId="74EFBEBE" w:rsidR="00205F7F" w:rsidRDefault="00205F7F">
      <w:pPr>
        <w:tabs>
          <w:tab w:val="left" w:pos="1134"/>
        </w:tabs>
        <w:ind w:right="-2"/>
        <w:rPr>
          <w:rFonts w:ascii="Century Gothic" w:hAnsi="Century Gothic"/>
        </w:rPr>
      </w:pPr>
    </w:p>
    <w:p w14:paraId="2C758765" w14:textId="33D7F7A6" w:rsidR="00932C1B" w:rsidRDefault="00932C1B">
      <w:pPr>
        <w:tabs>
          <w:tab w:val="left" w:pos="1134"/>
        </w:tabs>
        <w:ind w:right="-2"/>
        <w:rPr>
          <w:rFonts w:ascii="Century Gothic" w:hAnsi="Century Gothic"/>
        </w:rPr>
      </w:pPr>
    </w:p>
    <w:p w14:paraId="7F44597E" w14:textId="7C2A2DD5" w:rsidR="00932C1B" w:rsidRDefault="00932C1B">
      <w:pPr>
        <w:tabs>
          <w:tab w:val="left" w:pos="1134"/>
        </w:tabs>
        <w:ind w:right="-2"/>
        <w:rPr>
          <w:rFonts w:ascii="Century Gothic" w:hAnsi="Century Gothic"/>
        </w:rPr>
      </w:pPr>
    </w:p>
    <w:p w14:paraId="792D3657" w14:textId="77777777" w:rsidR="00932C1B" w:rsidRDefault="00932C1B">
      <w:pPr>
        <w:tabs>
          <w:tab w:val="left" w:pos="1134"/>
        </w:tabs>
        <w:ind w:right="-2"/>
        <w:rPr>
          <w:rFonts w:ascii="Century Gothic" w:hAnsi="Century Gothic"/>
        </w:rPr>
      </w:pPr>
    </w:p>
    <w:p w14:paraId="187F29CE" w14:textId="77777777" w:rsidR="00205F7F" w:rsidRPr="00932C1B" w:rsidRDefault="00D23D80">
      <w:pPr>
        <w:jc w:val="center"/>
        <w:rPr>
          <w:rFonts w:ascii="Century Gothic" w:hAnsi="Century Gothic"/>
          <w:b/>
          <w:sz w:val="24"/>
          <w:szCs w:val="24"/>
        </w:rPr>
      </w:pPr>
      <w:r w:rsidRPr="00932C1B">
        <w:rPr>
          <w:rFonts w:ascii="Century Gothic" w:hAnsi="Century Gothic"/>
          <w:b/>
          <w:sz w:val="24"/>
          <w:szCs w:val="24"/>
        </w:rPr>
        <w:t>REHABILATATION ET EXTENSION DU LYCEE BOIS JOLY POTIER AU TAMPON</w:t>
      </w:r>
    </w:p>
    <w:p w14:paraId="61737A62" w14:textId="77777777" w:rsidR="00205F7F" w:rsidRDefault="00205F7F">
      <w:pPr>
        <w:jc w:val="center"/>
        <w:rPr>
          <w:rFonts w:ascii="Century Gothic" w:eastAsia="Bookman Old Style" w:hAnsi="Century Gothic" w:cs="Bookman Old Style"/>
          <w:b/>
          <w:bCs/>
          <w:color w:val="008080"/>
          <w:sz w:val="24"/>
          <w:szCs w:val="24"/>
          <w:u w:val="single"/>
        </w:rPr>
      </w:pPr>
    </w:p>
    <w:p w14:paraId="262AE46F" w14:textId="5649949B" w:rsidR="00205F7F" w:rsidRDefault="00D23D80" w:rsidP="00441760">
      <w:pPr>
        <w:tabs>
          <w:tab w:val="left" w:pos="1134"/>
          <w:tab w:val="left" w:pos="3402"/>
        </w:tabs>
        <w:spacing w:beforeAutospacing="1"/>
        <w:ind w:left="3402" w:hanging="3402"/>
        <w:jc w:val="both"/>
      </w:pPr>
      <w:r>
        <w:rPr>
          <w:rFonts w:ascii="Arial" w:hAnsi="Arial" w:cs="Arial"/>
          <w:b/>
          <w:bCs/>
          <w:sz w:val="22"/>
          <w:szCs w:val="22"/>
        </w:rPr>
        <w:t>PO FEDER</w:t>
      </w:r>
      <w:r>
        <w:rPr>
          <w:rFonts w:ascii="Arial" w:hAnsi="Arial" w:cs="Arial"/>
          <w:b/>
          <w:bCs/>
          <w:sz w:val="22"/>
          <w:szCs w:val="22"/>
        </w:rPr>
        <w:t xml:space="preserve">- FSE+ 2014-2020 - </w:t>
      </w:r>
      <w:r w:rsidR="0044176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kern w:val="0"/>
          <w:sz w:val="22"/>
          <w:szCs w:val="22"/>
          <w:lang w:eastAsia="fr-FR"/>
        </w:rPr>
        <w:t xml:space="preserve">Fiche Action </w:t>
      </w:r>
      <w:r>
        <w:rPr>
          <w:rFonts w:ascii="Arial" w:hAnsi="Arial" w:cs="Arial"/>
          <w:b/>
          <w:bCs/>
          <w:kern w:val="0"/>
          <w:sz w:val="22"/>
          <w:szCs w:val="22"/>
          <w:lang w:eastAsia="fr-FR"/>
        </w:rPr>
        <w:t>7.06 Construction, Extension, R</w:t>
      </w:r>
      <w:r>
        <w:rPr>
          <w:rFonts w:ascii="Arial" w:hAnsi="Arial" w:cs="Arial"/>
          <w:b/>
          <w:bCs/>
          <w:sz w:val="22"/>
          <w:szCs w:val="22"/>
        </w:rPr>
        <w:t>éhabilitation des lycées et des collèges</w:t>
      </w:r>
    </w:p>
    <w:p w14:paraId="3EAC91A8" w14:textId="044D1660" w:rsidR="00F51CCF" w:rsidRDefault="00D23D80" w:rsidP="00F51CCF">
      <w:pPr>
        <w:tabs>
          <w:tab w:val="left" w:pos="5954"/>
        </w:tabs>
        <w:spacing w:before="240"/>
        <w:rPr>
          <w:rFonts w:ascii="Century Gothic" w:hAnsi="Century Gothic"/>
          <w:kern w:val="0"/>
          <w:sz w:val="22"/>
          <w:szCs w:val="22"/>
          <w:lang w:eastAsia="fr-FR"/>
        </w:rPr>
      </w:pP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>Montant estimatif prévisionnel global de l’opération :</w:t>
      </w:r>
      <w:r w:rsidR="00F51CCF">
        <w:rPr>
          <w:rFonts w:ascii="Century Gothic" w:hAnsi="Century Gothic"/>
          <w:kern w:val="0"/>
          <w:sz w:val="22"/>
          <w:szCs w:val="22"/>
          <w:lang w:eastAsia="fr-FR"/>
        </w:rPr>
        <w:tab/>
      </w:r>
      <w:r w:rsidR="00047D64">
        <w:rPr>
          <w:rFonts w:ascii="Arial" w:hAnsi="Arial" w:cs="Arial"/>
          <w:color w:val="000000"/>
        </w:rPr>
        <w:t>11 581 588,89</w:t>
      </w:r>
      <w:r w:rsidR="005D6244" w:rsidRPr="002B1A75">
        <w:rPr>
          <w:rFonts w:ascii="Arial" w:hAnsi="Arial" w:cs="Arial"/>
        </w:rPr>
        <w:t xml:space="preserve"> 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 xml:space="preserve">€ </w:t>
      </w:r>
    </w:p>
    <w:p w14:paraId="19D54F94" w14:textId="2DDBE6F7" w:rsidR="00F51CCF" w:rsidRDefault="00D23D80" w:rsidP="00F51CCF">
      <w:pPr>
        <w:tabs>
          <w:tab w:val="left" w:pos="5954"/>
        </w:tabs>
        <w:spacing w:before="120"/>
        <w:rPr>
          <w:rFonts w:ascii="Century Gothic" w:hAnsi="Century Gothic"/>
          <w:kern w:val="0"/>
          <w:sz w:val="22"/>
          <w:szCs w:val="22"/>
          <w:lang w:eastAsia="fr-FR"/>
        </w:rPr>
      </w:pP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 xml:space="preserve">Montant 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>de la subvention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 xml:space="preserve"> FEDER 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>attribuée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 xml:space="preserve">  :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ab/>
      </w:r>
      <w:r w:rsidR="00F51CCF">
        <w:rPr>
          <w:rFonts w:ascii="Century Gothic" w:hAnsi="Century Gothic"/>
          <w:kern w:val="0"/>
          <w:sz w:val="22"/>
          <w:szCs w:val="22"/>
          <w:lang w:eastAsia="fr-FR"/>
        </w:rPr>
        <w:t>6</w:t>
      </w:r>
      <w:r w:rsidR="005D6244">
        <w:rPr>
          <w:rFonts w:ascii="Century Gothic" w:hAnsi="Century Gothic"/>
          <w:kern w:val="0"/>
          <w:sz w:val="22"/>
          <w:szCs w:val="22"/>
          <w:lang w:eastAsia="fr-FR"/>
        </w:rPr>
        <w:t> </w:t>
      </w:r>
      <w:r w:rsidR="00F51CCF">
        <w:rPr>
          <w:rFonts w:ascii="Century Gothic" w:hAnsi="Century Gothic"/>
          <w:kern w:val="0"/>
          <w:sz w:val="22"/>
          <w:szCs w:val="22"/>
          <w:lang w:eastAsia="fr-FR"/>
        </w:rPr>
        <w:t>402</w:t>
      </w:r>
      <w:r w:rsidR="005D6244">
        <w:rPr>
          <w:rFonts w:ascii="Century Gothic" w:hAnsi="Century Gothic"/>
          <w:kern w:val="0"/>
          <w:sz w:val="22"/>
          <w:szCs w:val="22"/>
          <w:lang w:eastAsia="fr-FR"/>
        </w:rPr>
        <w:t xml:space="preserve"> </w:t>
      </w:r>
      <w:r w:rsidR="00F51CCF">
        <w:rPr>
          <w:rFonts w:ascii="Century Gothic" w:hAnsi="Century Gothic"/>
          <w:kern w:val="0"/>
          <w:sz w:val="22"/>
          <w:szCs w:val="22"/>
          <w:lang w:eastAsia="fr-FR"/>
        </w:rPr>
        <w:t>514,37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 xml:space="preserve"> €</w:t>
      </w:r>
    </w:p>
    <w:p w14:paraId="465C6524" w14:textId="1BA01CDA" w:rsidR="00205F7F" w:rsidRPr="00441760" w:rsidRDefault="00D23D80" w:rsidP="00F51CCF">
      <w:pPr>
        <w:tabs>
          <w:tab w:val="left" w:pos="5954"/>
        </w:tabs>
        <w:spacing w:before="120"/>
      </w:pP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 xml:space="preserve">Taux 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 xml:space="preserve">d’intervention du FEDER : 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ab/>
      </w:r>
      <w:r w:rsidR="00F51CCF">
        <w:rPr>
          <w:rFonts w:ascii="Century Gothic" w:hAnsi="Century Gothic"/>
          <w:kern w:val="0"/>
          <w:sz w:val="22"/>
          <w:szCs w:val="22"/>
          <w:lang w:eastAsia="fr-FR"/>
        </w:rPr>
        <w:t>70</w:t>
      </w:r>
      <w:r w:rsidRPr="00441760">
        <w:rPr>
          <w:rFonts w:ascii="Century Gothic" w:hAnsi="Century Gothic"/>
          <w:kern w:val="0"/>
          <w:sz w:val="22"/>
          <w:szCs w:val="22"/>
          <w:lang w:eastAsia="fr-FR"/>
        </w:rPr>
        <w:t>%</w:t>
      </w:r>
      <w:r w:rsidR="005D6244">
        <w:rPr>
          <w:rFonts w:ascii="Century Gothic" w:hAnsi="Century Gothic"/>
          <w:kern w:val="0"/>
          <w:sz w:val="22"/>
          <w:szCs w:val="22"/>
          <w:lang w:eastAsia="fr-FR"/>
        </w:rPr>
        <w:t xml:space="preserve"> </w:t>
      </w:r>
    </w:p>
    <w:p w14:paraId="5AD7C4C5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2194CD7A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3E494056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0285716F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1B8A9C55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16DB33FD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52864789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50CB369F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28C6EDAC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6536176A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48417EDE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68313ED3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03864B69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0A4D2C40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250C2259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3DD9685E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1BFEC173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75042A82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0DAD222A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31510483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49C822A5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1A41736C" w14:textId="77777777" w:rsidR="00F51CCF" w:rsidRDefault="00F51CC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7F00F08C" w14:textId="3475CD85" w:rsidR="00205F7F" w:rsidRDefault="00205F7F" w:rsidP="00F51CCF">
      <w:pPr>
        <w:spacing w:beforeAutospacing="1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</w:p>
    <w:p w14:paraId="1018BDC0" w14:textId="77777777" w:rsidR="00932C1B" w:rsidRDefault="00932C1B">
      <w:pPr>
        <w:tabs>
          <w:tab w:val="left" w:pos="1134"/>
        </w:tabs>
        <w:ind w:right="-2"/>
        <w:jc w:val="both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  <w:r>
        <w:rPr>
          <w:rFonts w:ascii="Arial" w:hAnsi="Arial" w:cs="Arial"/>
          <w:b/>
          <w:bCs/>
          <w:i/>
          <w:iCs/>
          <w:color w:val="000000"/>
          <w:sz w:val="4"/>
          <w:szCs w:val="4"/>
        </w:rPr>
        <w:br/>
      </w:r>
    </w:p>
    <w:p w14:paraId="0AEF5E4C" w14:textId="77777777" w:rsidR="00932C1B" w:rsidRDefault="00932C1B">
      <w:pPr>
        <w:suppressAutoHyphens w:val="0"/>
        <w:rPr>
          <w:rFonts w:ascii="Arial" w:hAnsi="Arial" w:cs="Arial"/>
          <w:b/>
          <w:bCs/>
          <w:i/>
          <w:iCs/>
          <w:color w:val="000000"/>
          <w:sz w:val="4"/>
          <w:szCs w:val="4"/>
        </w:rPr>
      </w:pPr>
      <w:r>
        <w:rPr>
          <w:rFonts w:ascii="Arial" w:hAnsi="Arial" w:cs="Arial"/>
          <w:b/>
          <w:bCs/>
          <w:i/>
          <w:iCs/>
          <w:color w:val="000000"/>
          <w:sz w:val="4"/>
          <w:szCs w:val="4"/>
        </w:rPr>
        <w:br w:type="page"/>
      </w:r>
    </w:p>
    <w:p w14:paraId="25C0EF60" w14:textId="20342154" w:rsidR="002B1A75" w:rsidRPr="002B1A75" w:rsidRDefault="00D23D80">
      <w:pPr>
        <w:tabs>
          <w:tab w:val="left" w:pos="1134"/>
        </w:tabs>
        <w:ind w:right="-2"/>
        <w:jc w:val="both"/>
        <w:rPr>
          <w:rFonts w:ascii="Arial" w:hAnsi="Arial" w:cs="Arial"/>
          <w:color w:val="000000"/>
        </w:rPr>
      </w:pPr>
      <w:r w:rsidRPr="002B1A75">
        <w:rPr>
          <w:rFonts w:ascii="Arial" w:hAnsi="Arial" w:cs="Arial"/>
          <w:color w:val="000000"/>
        </w:rPr>
        <w:lastRenderedPageBreak/>
        <w:t>Le lycée Bois Joly Potier, situé rue Ignaz Pleyel au Tampon a été inauguré</w:t>
      </w:r>
      <w:r w:rsidRPr="002B1A75">
        <w:rPr>
          <w:rFonts w:ascii="Arial" w:hAnsi="Arial" w:cs="Arial"/>
          <w:color w:val="000000"/>
        </w:rPr>
        <w:t xml:space="preserve"> à la rentrée de 1993</w:t>
      </w:r>
      <w:r w:rsidR="002B1A75" w:rsidRPr="002B1A75">
        <w:rPr>
          <w:rFonts w:ascii="Arial" w:hAnsi="Arial" w:cs="Arial"/>
          <w:color w:val="000000"/>
        </w:rPr>
        <w:t>.</w:t>
      </w:r>
      <w:r w:rsidRPr="002B1A75">
        <w:rPr>
          <w:rFonts w:ascii="Arial" w:hAnsi="Arial" w:cs="Arial"/>
          <w:color w:val="000000"/>
        </w:rPr>
        <w:t xml:space="preserve"> </w:t>
      </w:r>
    </w:p>
    <w:p w14:paraId="2EBB51B1" w14:textId="1EE3D722" w:rsidR="00205F7F" w:rsidRPr="002B1A75" w:rsidRDefault="002B1A75">
      <w:pPr>
        <w:tabs>
          <w:tab w:val="left" w:pos="1134"/>
        </w:tabs>
        <w:ind w:right="-2"/>
        <w:jc w:val="both"/>
        <w:rPr>
          <w:rFonts w:ascii="Arial" w:hAnsi="Arial" w:cs="Arial"/>
          <w:color w:val="000000"/>
        </w:rPr>
      </w:pPr>
      <w:r w:rsidRPr="002B1A75">
        <w:rPr>
          <w:rFonts w:ascii="Arial" w:hAnsi="Arial" w:cs="Arial"/>
          <w:color w:val="000000"/>
        </w:rPr>
        <w:t>L</w:t>
      </w:r>
      <w:r w:rsidR="00D23D80" w:rsidRPr="002B1A75">
        <w:rPr>
          <w:rFonts w:ascii="Arial" w:hAnsi="Arial" w:cs="Arial"/>
          <w:color w:val="000000"/>
        </w:rPr>
        <w:t xml:space="preserve">e </w:t>
      </w:r>
      <w:r w:rsidR="00D23D80" w:rsidRPr="002B1A75">
        <w:rPr>
          <w:rFonts w:ascii="Arial" w:hAnsi="Arial" w:cs="Arial"/>
          <w:color w:val="000000"/>
        </w:rPr>
        <w:t>lycée accueillait en 2010/2011 1 278 élèves répartis dans 46divisions : 550 élèves dans les voies générale et technologique et 728 dans la voie professionnelle.</w:t>
      </w:r>
    </w:p>
    <w:p w14:paraId="6339D0A9" w14:textId="77777777" w:rsidR="00205F7F" w:rsidRPr="002B1A75" w:rsidRDefault="00205F7F">
      <w:pPr>
        <w:ind w:right="-2"/>
        <w:jc w:val="both"/>
        <w:rPr>
          <w:rFonts w:ascii="Arial" w:hAnsi="Arial" w:cs="Arial"/>
        </w:rPr>
      </w:pPr>
    </w:p>
    <w:p w14:paraId="7E5A11C7" w14:textId="597F13F1" w:rsidR="00205F7F" w:rsidRPr="002B1A75" w:rsidRDefault="002B1A75">
      <w:pPr>
        <w:autoSpaceDE w:val="0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A</w:t>
      </w:r>
      <w:r w:rsidRPr="002B1A75">
        <w:rPr>
          <w:rFonts w:ascii="Arial" w:hAnsi="Arial" w:cs="Arial"/>
        </w:rPr>
        <w:t>vec le cofinancement du FEDER</w:t>
      </w:r>
      <w:r w:rsidRPr="002B1A75">
        <w:rPr>
          <w:rFonts w:ascii="Arial" w:hAnsi="Arial" w:cs="Arial"/>
        </w:rPr>
        <w:t>, l</w:t>
      </w:r>
      <w:r w:rsidR="00D23D80" w:rsidRPr="002B1A75">
        <w:rPr>
          <w:rFonts w:ascii="Arial" w:hAnsi="Arial" w:cs="Arial"/>
        </w:rPr>
        <w:t xml:space="preserve">a Région a validé les travaux de </w:t>
      </w:r>
      <w:r w:rsidR="00D23D80" w:rsidRPr="002B1A75">
        <w:rPr>
          <w:rFonts w:ascii="Arial" w:hAnsi="Arial" w:cs="Arial"/>
        </w:rPr>
        <w:t xml:space="preserve">réhabilitation et d’extension qui ont porté sur les locaux d’enseignement en partie sur les locaux d’accompagnement, ainsi que sur la mise aux normes accessibilité de l’ensemble des bâtiments . </w:t>
      </w:r>
    </w:p>
    <w:p w14:paraId="606902F1" w14:textId="77777777" w:rsidR="00205F7F" w:rsidRPr="002B1A75" w:rsidRDefault="00205F7F">
      <w:pPr>
        <w:autoSpaceDE w:val="0"/>
        <w:jc w:val="both"/>
        <w:rPr>
          <w:rFonts w:ascii="Arial" w:hAnsi="Arial" w:cs="Arial"/>
        </w:rPr>
      </w:pPr>
    </w:p>
    <w:p w14:paraId="37A2B6EF" w14:textId="77777777" w:rsidR="00205F7F" w:rsidRPr="002B1A75" w:rsidRDefault="00D23D80">
      <w:pPr>
        <w:autoSpaceDE w:val="0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Le projet a été dimensionné sur la base d'un effectif prévis</w:t>
      </w:r>
      <w:r w:rsidRPr="002B1A75">
        <w:rPr>
          <w:rFonts w:ascii="Arial" w:hAnsi="Arial" w:cs="Arial"/>
        </w:rPr>
        <w:t>ionnel de 1 560 élèves, dont 72 élèves en CAP, 1416 élèves en filières générale et technologique, et 72 élèves en BTS.</w:t>
      </w:r>
    </w:p>
    <w:p w14:paraId="7850D16D" w14:textId="77777777" w:rsidR="00205F7F" w:rsidRPr="002B1A75" w:rsidRDefault="00205F7F">
      <w:pPr>
        <w:pStyle w:val="LO-Normal1"/>
        <w:widowControl/>
        <w:tabs>
          <w:tab w:val="left" w:pos="1080"/>
        </w:tabs>
        <w:autoSpaceDE w:val="0"/>
        <w:spacing w:after="120"/>
        <w:jc w:val="both"/>
        <w:rPr>
          <w:rFonts w:ascii="Arial" w:eastAsia="SimSun;宋体" w:hAnsi="Arial" w:cs="Arial"/>
          <w:sz w:val="20"/>
          <w:szCs w:val="20"/>
          <w:lang w:bidi="ar-SA"/>
        </w:rPr>
      </w:pPr>
    </w:p>
    <w:p w14:paraId="4F7F444C" w14:textId="77777777" w:rsidR="00205F7F" w:rsidRPr="002B1A75" w:rsidRDefault="00D23D80">
      <w:pPr>
        <w:pStyle w:val="LO-Normal1"/>
        <w:widowControl/>
        <w:tabs>
          <w:tab w:val="left" w:pos="1080"/>
        </w:tabs>
        <w:autoSpaceDE w:val="0"/>
        <w:spacing w:after="120"/>
        <w:jc w:val="both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2B1A75">
        <w:rPr>
          <w:rFonts w:ascii="Arial" w:eastAsia="Times New Roman" w:hAnsi="Arial" w:cs="Arial"/>
          <w:b/>
          <w:bCs/>
          <w:sz w:val="20"/>
          <w:szCs w:val="20"/>
          <w:lang w:bidi="ar-SA"/>
        </w:rPr>
        <w:t>La réalisation de ce projet répondait aux principes suivants :</w:t>
      </w:r>
    </w:p>
    <w:p w14:paraId="606C01A2" w14:textId="77777777" w:rsidR="00205F7F" w:rsidRPr="002B1A75" w:rsidRDefault="00D23D80">
      <w:pPr>
        <w:pStyle w:val="LO-Normal"/>
        <w:widowControl w:val="0"/>
        <w:tabs>
          <w:tab w:val="left" w:pos="0"/>
        </w:tabs>
        <w:autoSpaceDE w:val="0"/>
        <w:spacing w:before="113"/>
        <w:ind w:left="1020" w:hanging="283"/>
        <w:jc w:val="both"/>
        <w:textAlignment w:val="auto"/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</w:pPr>
      <w:r w:rsidRPr="002B1A75"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  <w:t>-</w:t>
      </w:r>
      <w:r w:rsidRPr="002B1A75"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  <w:tab/>
        <w:t>Répondre aux déficits constatés en priorité pour les unités d’enseignem</w:t>
      </w:r>
      <w:r w:rsidRPr="002B1A75"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  <w:t>ents. Les autres unités, dont le fonctionnement et l’organisation actuels sont jugés satisfaisants, seront modifiées partiellement.</w:t>
      </w:r>
    </w:p>
    <w:p w14:paraId="2A877E84" w14:textId="77777777" w:rsidR="00205F7F" w:rsidRPr="002B1A75" w:rsidRDefault="00D23D80">
      <w:pPr>
        <w:pStyle w:val="LO-Normal"/>
        <w:widowControl w:val="0"/>
        <w:tabs>
          <w:tab w:val="left" w:pos="0"/>
        </w:tabs>
        <w:autoSpaceDE w:val="0"/>
        <w:spacing w:before="113"/>
        <w:ind w:left="1020" w:hanging="283"/>
        <w:jc w:val="both"/>
        <w:textAlignment w:val="auto"/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</w:pPr>
      <w:r w:rsidRPr="002B1A75"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  <w:t>-</w:t>
      </w:r>
      <w:r w:rsidRPr="002B1A75"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  <w:tab/>
        <w:t>Respecter les cohérences en termes de fonctionnement en regroupant dans la mesure du possible les enseignements de même na</w:t>
      </w:r>
      <w:r w:rsidRPr="002B1A75"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  <w:t>ture dans un même bâtiment ou sur un même étage.</w:t>
      </w:r>
    </w:p>
    <w:p w14:paraId="2B0D5F8D" w14:textId="77777777" w:rsidR="00205F7F" w:rsidRPr="002B1A75" w:rsidRDefault="00D23D80">
      <w:pPr>
        <w:pStyle w:val="LO-Normal"/>
        <w:widowControl w:val="0"/>
        <w:tabs>
          <w:tab w:val="left" w:pos="0"/>
        </w:tabs>
        <w:autoSpaceDE w:val="0"/>
        <w:spacing w:before="113"/>
        <w:ind w:left="1020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2B1A75">
        <w:rPr>
          <w:rStyle w:val="Policepardfaut1"/>
          <w:rFonts w:ascii="Arial" w:eastAsia="Times New Roman" w:hAnsi="Arial" w:cs="Arial"/>
          <w:bCs/>
          <w:spacing w:val="-6"/>
          <w:sz w:val="20"/>
          <w:szCs w:val="20"/>
          <w:lang w:bidi="ar-SA"/>
        </w:rPr>
        <w:t>-</w:t>
      </w:r>
      <w:r w:rsidRPr="002B1A75">
        <w:rPr>
          <w:rStyle w:val="Policepardfaut1"/>
          <w:rFonts w:ascii="Arial" w:eastAsia="Times New Roman" w:hAnsi="Arial" w:cs="Arial"/>
          <w:bCs/>
          <w:spacing w:val="-6"/>
          <w:sz w:val="20"/>
          <w:szCs w:val="20"/>
          <w:lang w:bidi="ar-SA"/>
        </w:rPr>
        <w:tab/>
        <w:t>Limiter les restructurations ou les déplacements de locaux spécialisés nécessitant des alimentations en fluides variés (eau, gaz, électricité).</w:t>
      </w:r>
    </w:p>
    <w:p w14:paraId="3B1776A5" w14:textId="77777777" w:rsidR="00205F7F" w:rsidRPr="002B1A75" w:rsidRDefault="00D23D80">
      <w:pPr>
        <w:pStyle w:val="LO-Normal"/>
        <w:widowControl w:val="0"/>
        <w:tabs>
          <w:tab w:val="left" w:pos="0"/>
        </w:tabs>
        <w:autoSpaceDE w:val="0"/>
        <w:spacing w:before="113"/>
        <w:ind w:left="1020" w:hanging="283"/>
        <w:jc w:val="both"/>
        <w:textAlignment w:val="auto"/>
        <w:rPr>
          <w:rFonts w:ascii="Arial" w:hAnsi="Arial" w:cs="Arial"/>
          <w:sz w:val="20"/>
          <w:szCs w:val="20"/>
        </w:rPr>
      </w:pPr>
      <w:r w:rsidRPr="002B1A75">
        <w:rPr>
          <w:rStyle w:val="Policepardfaut1"/>
          <w:rFonts w:ascii="Arial" w:eastAsia="Times New Roman" w:hAnsi="Arial" w:cs="Arial"/>
          <w:bCs/>
          <w:spacing w:val="-6"/>
          <w:sz w:val="20"/>
          <w:szCs w:val="20"/>
          <w:lang w:bidi="ar-SA"/>
        </w:rPr>
        <w:t>-</w:t>
      </w:r>
      <w:r w:rsidRPr="002B1A75">
        <w:rPr>
          <w:rStyle w:val="Policepardfaut1"/>
          <w:rFonts w:ascii="Arial" w:eastAsia="Times New Roman" w:hAnsi="Arial" w:cs="Arial"/>
          <w:bCs/>
          <w:spacing w:val="-6"/>
          <w:sz w:val="20"/>
          <w:szCs w:val="20"/>
          <w:lang w:bidi="ar-SA"/>
        </w:rPr>
        <w:tab/>
      </w:r>
      <w:r w:rsidRPr="002B1A75"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  <w:t>Les espaces de circulations extérieures aux bâtiments devro</w:t>
      </w:r>
      <w:r w:rsidRPr="002B1A75">
        <w:rPr>
          <w:rFonts w:ascii="Arial" w:eastAsia="Times New Roman" w:hAnsi="Arial" w:cs="Arial"/>
          <w:bCs/>
          <w:spacing w:val="-6"/>
          <w:sz w:val="20"/>
          <w:szCs w:val="20"/>
          <w:lang w:bidi="ar-SA"/>
        </w:rPr>
        <w:t>nt permettre l’accessibilité des personnes à mobilité réduite à l’ensemble du lycée.</w:t>
      </w:r>
    </w:p>
    <w:p w14:paraId="0E2F6A4A" w14:textId="77777777" w:rsidR="00205F7F" w:rsidRPr="002B1A75" w:rsidRDefault="00205F7F">
      <w:pPr>
        <w:autoSpaceDE w:val="0"/>
        <w:jc w:val="both"/>
        <w:rPr>
          <w:rFonts w:ascii="Arial" w:hAnsi="Arial" w:cs="Arial"/>
        </w:rPr>
      </w:pPr>
    </w:p>
    <w:p w14:paraId="4C0D6443" w14:textId="77777777" w:rsidR="00205F7F" w:rsidRPr="002B1A75" w:rsidRDefault="00D23D80">
      <w:pPr>
        <w:autoSpaceDE w:val="0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Ce projet fait également l'objet de préconisations environnementales sans hiérarchisation des cibles définies dans le référentiel technique de la Région (cahier des exige</w:t>
      </w:r>
      <w:r w:rsidRPr="002B1A75">
        <w:rPr>
          <w:rFonts w:ascii="Arial" w:hAnsi="Arial" w:cs="Arial"/>
        </w:rPr>
        <w:t xml:space="preserve">nces patrimoine  et suivant une démarche de type Haute Qualité Environnementale (HQE). </w:t>
      </w:r>
    </w:p>
    <w:p w14:paraId="38CC2DD7" w14:textId="577CAE4B" w:rsidR="00205F7F" w:rsidRDefault="00205F7F">
      <w:pPr>
        <w:autoSpaceDE w:val="0"/>
        <w:jc w:val="both"/>
        <w:rPr>
          <w:rFonts w:ascii="Arial" w:hAnsi="Arial" w:cs="Arial"/>
        </w:rPr>
      </w:pPr>
    </w:p>
    <w:p w14:paraId="197919D1" w14:textId="77777777" w:rsidR="002B1A75" w:rsidRPr="002B1A75" w:rsidRDefault="002B1A75" w:rsidP="002B1A75">
      <w:pPr>
        <w:autoSpaceDE w:val="0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D'autre part, le programme de mise aux normes accessibilité a porté sur l’ensemble de l’établissement (espaces extérieurs et bâtiments).</w:t>
      </w:r>
    </w:p>
    <w:p w14:paraId="6537670C" w14:textId="77777777" w:rsidR="002B1A75" w:rsidRPr="002B1A75" w:rsidRDefault="002B1A75">
      <w:pPr>
        <w:autoSpaceDE w:val="0"/>
        <w:jc w:val="both"/>
        <w:rPr>
          <w:rFonts w:ascii="Arial" w:hAnsi="Arial" w:cs="Arial"/>
        </w:rPr>
      </w:pPr>
    </w:p>
    <w:p w14:paraId="0C07603C" w14:textId="77777777" w:rsidR="00205F7F" w:rsidRPr="002B1A75" w:rsidRDefault="00D23D80">
      <w:pPr>
        <w:autoSpaceDE w:val="0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Les travaux ont été réalisés en milieu occupé et en fonctionnement.</w:t>
      </w:r>
    </w:p>
    <w:p w14:paraId="5BFBF2D1" w14:textId="77777777" w:rsidR="002B1A75" w:rsidRDefault="002B1A75">
      <w:pPr>
        <w:autoSpaceDE w:val="0"/>
        <w:jc w:val="both"/>
        <w:rPr>
          <w:rFonts w:ascii="Arial" w:hAnsi="Arial" w:cs="Arial"/>
        </w:rPr>
      </w:pPr>
    </w:p>
    <w:p w14:paraId="51F307C9" w14:textId="722005D5" w:rsidR="002B1A75" w:rsidRDefault="002B1A75">
      <w:pPr>
        <w:autoSpaceDE w:val="0"/>
        <w:jc w:val="both"/>
        <w:rPr>
          <w:rFonts w:ascii="Arial" w:hAnsi="Arial" w:cs="Arial"/>
        </w:rPr>
      </w:pPr>
      <w:r w:rsidRPr="009A3E25">
        <w:rPr>
          <w:rFonts w:ascii="Century Gothic" w:hAnsi="Century Gothic" w:cs="Bookman Old Style"/>
          <w:b/>
          <w:bCs/>
          <w:kern w:val="3"/>
        </w:rPr>
        <w:t>Calendrier</w:t>
      </w:r>
      <w:r>
        <w:rPr>
          <w:rFonts w:ascii="Century Gothic" w:hAnsi="Century Gothic" w:cs="Bookman Old Style"/>
          <w:b/>
          <w:bCs/>
          <w:kern w:val="3"/>
        </w:rPr>
        <w:t xml:space="preserve"> des travaux : </w:t>
      </w:r>
      <w:r w:rsidRPr="002B1A75">
        <w:rPr>
          <w:rFonts w:ascii="Arial" w:eastAsia="SimSun;宋体" w:hAnsi="Arial" w:cs="Arial"/>
          <w:lang w:eastAsia="fr-FR"/>
        </w:rPr>
        <w:t xml:space="preserve">juillet 2018 </w:t>
      </w:r>
      <w:r>
        <w:rPr>
          <w:rFonts w:ascii="Arial" w:eastAsia="SimSun;宋体" w:hAnsi="Arial" w:cs="Arial"/>
          <w:lang w:eastAsia="fr-FR"/>
        </w:rPr>
        <w:t>à a</w:t>
      </w:r>
      <w:r w:rsidRPr="002B1A75">
        <w:rPr>
          <w:rFonts w:ascii="Arial" w:eastAsia="SimSun;宋体" w:hAnsi="Arial" w:cs="Arial"/>
          <w:lang w:eastAsia="fr-FR"/>
        </w:rPr>
        <w:t>oût 2023</w:t>
      </w:r>
    </w:p>
    <w:p w14:paraId="5B16383E" w14:textId="77777777" w:rsidR="002B1A75" w:rsidRDefault="002B1A75">
      <w:pPr>
        <w:autoSpaceDE w:val="0"/>
        <w:jc w:val="both"/>
        <w:rPr>
          <w:rFonts w:ascii="Arial" w:hAnsi="Arial" w:cs="Arial"/>
        </w:rPr>
      </w:pPr>
    </w:p>
    <w:p w14:paraId="2CD50885" w14:textId="737E9B3C" w:rsidR="00205F7F" w:rsidRPr="002B1A75" w:rsidRDefault="00D23D80">
      <w:pPr>
        <w:autoSpaceDE w:val="0"/>
        <w:jc w:val="both"/>
        <w:rPr>
          <w:rFonts w:ascii="Arial" w:hAnsi="Arial" w:cs="Arial"/>
          <w:b/>
          <w:bCs/>
        </w:rPr>
      </w:pPr>
      <w:r w:rsidRPr="002B1A75">
        <w:rPr>
          <w:rFonts w:ascii="Arial" w:hAnsi="Arial" w:cs="Arial"/>
          <w:b/>
          <w:bCs/>
        </w:rPr>
        <w:t>Au total, l’opération de restructuration du lycée Bois Joly Potier représente :</w:t>
      </w:r>
    </w:p>
    <w:p w14:paraId="03B49556" w14:textId="77777777" w:rsidR="00205F7F" w:rsidRPr="002B1A75" w:rsidRDefault="00D23D80">
      <w:pPr>
        <w:autoSpaceDE w:val="0"/>
        <w:spacing w:before="57"/>
        <w:ind w:left="1020" w:hanging="283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-</w:t>
      </w:r>
      <w:r w:rsidRPr="002B1A75">
        <w:rPr>
          <w:rFonts w:ascii="Arial" w:hAnsi="Arial" w:cs="Arial"/>
        </w:rPr>
        <w:tab/>
        <w:t>6 518 m² de surfaces utiles inchangées/réaffectées ;</w:t>
      </w:r>
    </w:p>
    <w:p w14:paraId="41D1AE81" w14:textId="77777777" w:rsidR="00205F7F" w:rsidRPr="002B1A75" w:rsidRDefault="00D23D80">
      <w:pPr>
        <w:autoSpaceDE w:val="0"/>
        <w:spacing w:before="57"/>
        <w:ind w:left="1020" w:hanging="283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-</w:t>
      </w:r>
      <w:r w:rsidRPr="002B1A75">
        <w:rPr>
          <w:rFonts w:ascii="Arial" w:hAnsi="Arial" w:cs="Arial"/>
        </w:rPr>
        <w:tab/>
        <w:t>669 m² de surfaces utiles restructurées ;</w:t>
      </w:r>
    </w:p>
    <w:p w14:paraId="24204F6D" w14:textId="77777777" w:rsidR="00205F7F" w:rsidRPr="002B1A75" w:rsidRDefault="00D23D80">
      <w:pPr>
        <w:autoSpaceDE w:val="0"/>
        <w:spacing w:before="57"/>
        <w:ind w:left="1020" w:hanging="283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-</w:t>
      </w:r>
      <w:r w:rsidRPr="002B1A75">
        <w:rPr>
          <w:rFonts w:ascii="Arial" w:hAnsi="Arial" w:cs="Arial"/>
        </w:rPr>
        <w:tab/>
        <w:t>1 390 m² de surfaces utiles créées ;</w:t>
      </w:r>
    </w:p>
    <w:p w14:paraId="0693C3CB" w14:textId="77777777" w:rsidR="00205F7F" w:rsidRPr="002B1A75" w:rsidRDefault="00D23D80">
      <w:pPr>
        <w:autoSpaceDE w:val="0"/>
        <w:spacing w:before="57"/>
        <w:ind w:left="1020" w:hanging="283"/>
        <w:jc w:val="both"/>
        <w:rPr>
          <w:rFonts w:ascii="Arial" w:hAnsi="Arial" w:cs="Arial"/>
        </w:rPr>
      </w:pPr>
      <w:r w:rsidRPr="002B1A75">
        <w:rPr>
          <w:rFonts w:ascii="Arial" w:hAnsi="Arial" w:cs="Arial"/>
        </w:rPr>
        <w:t>-</w:t>
      </w:r>
      <w:r w:rsidRPr="002B1A75">
        <w:rPr>
          <w:rFonts w:ascii="Arial" w:hAnsi="Arial" w:cs="Arial"/>
        </w:rPr>
        <w:tab/>
        <w:t>379 m² de surfaces extérieures créée</w:t>
      </w:r>
      <w:r w:rsidRPr="002B1A75">
        <w:rPr>
          <w:rFonts w:ascii="Arial" w:hAnsi="Arial" w:cs="Arial"/>
        </w:rPr>
        <w:t>s.</w:t>
      </w:r>
    </w:p>
    <w:p w14:paraId="6DCB0940" w14:textId="77777777" w:rsidR="00205F7F" w:rsidRPr="002B1A75" w:rsidRDefault="00205F7F">
      <w:pPr>
        <w:autoSpaceDE w:val="0"/>
        <w:ind w:left="1134"/>
        <w:jc w:val="both"/>
        <w:rPr>
          <w:rFonts w:ascii="Arial" w:hAnsi="Arial" w:cs="Arial"/>
        </w:rPr>
      </w:pPr>
    </w:p>
    <w:p w14:paraId="1D5C04DC" w14:textId="55E03453" w:rsidR="00205F7F" w:rsidRDefault="00205F7F">
      <w:pPr>
        <w:autoSpaceDE w:val="0"/>
        <w:jc w:val="both"/>
        <w:rPr>
          <w:rFonts w:ascii="Arial" w:hAnsi="Arial" w:cs="Arial"/>
        </w:rPr>
      </w:pPr>
    </w:p>
    <w:p w14:paraId="15444659" w14:textId="237EBAC6" w:rsidR="002B1A75" w:rsidRPr="00932C1B" w:rsidRDefault="002B1A75">
      <w:pPr>
        <w:autoSpaceDE w:val="0"/>
        <w:jc w:val="both"/>
        <w:rPr>
          <w:rFonts w:ascii="Arial" w:hAnsi="Arial" w:cs="Arial"/>
          <w:b/>
          <w:bCs/>
        </w:rPr>
      </w:pPr>
      <w:r w:rsidRPr="00932C1B">
        <w:rPr>
          <w:rFonts w:ascii="Arial" w:hAnsi="Arial" w:cs="Arial"/>
          <w:b/>
          <w:bCs/>
        </w:rPr>
        <w:t>Financement</w:t>
      </w:r>
    </w:p>
    <w:p w14:paraId="3B4DF1F5" w14:textId="76D0C587" w:rsidR="00205F7F" w:rsidRDefault="00D23D80">
      <w:pPr>
        <w:pStyle w:val="WW-Standard"/>
        <w:tabs>
          <w:tab w:val="left" w:pos="567"/>
        </w:tabs>
        <w:spacing w:before="170" w:after="0"/>
        <w:jc w:val="both"/>
        <w:rPr>
          <w:rFonts w:ascii="Arial" w:eastAsia="Times New Roman" w:hAnsi="Arial" w:cs="Arial"/>
          <w:sz w:val="20"/>
          <w:szCs w:val="20"/>
        </w:rPr>
      </w:pPr>
      <w:r w:rsidRPr="002B1A75">
        <w:rPr>
          <w:rFonts w:ascii="Arial" w:eastAsia="Times New Roman" w:hAnsi="Arial" w:cs="Arial"/>
          <w:sz w:val="20"/>
          <w:szCs w:val="20"/>
        </w:rPr>
        <w:t xml:space="preserve">Le coût de l’opération d’un montant de </w:t>
      </w:r>
      <w:r w:rsidRPr="002B1A75">
        <w:rPr>
          <w:rFonts w:ascii="Arial" w:eastAsia="Times New Roman" w:hAnsi="Arial" w:cs="Arial"/>
          <w:color w:val="000000"/>
          <w:sz w:val="20"/>
          <w:szCs w:val="20"/>
        </w:rPr>
        <w:t>12</w:t>
      </w:r>
      <w:r w:rsidRPr="002B1A75">
        <w:rPr>
          <w:rFonts w:ascii="Arial" w:eastAsia="Times New Roman" w:hAnsi="Arial" w:cs="Arial"/>
          <w:color w:val="000000"/>
          <w:sz w:val="20"/>
          <w:szCs w:val="20"/>
        </w:rPr>
        <w:t xml:space="preserve"> 971 485,61</w:t>
      </w:r>
      <w:r w:rsidRPr="002B1A75">
        <w:rPr>
          <w:rFonts w:ascii="Arial" w:eastAsia="Times New Roman" w:hAnsi="Arial" w:cs="Arial"/>
          <w:sz w:val="20"/>
          <w:szCs w:val="20"/>
        </w:rPr>
        <w:t xml:space="preserve"> </w:t>
      </w:r>
      <w:r w:rsidRPr="002B1A75">
        <w:rPr>
          <w:rFonts w:ascii="Arial" w:eastAsia="Times New Roman" w:hAnsi="Arial" w:cs="Arial"/>
          <w:sz w:val="20"/>
          <w:szCs w:val="20"/>
        </w:rPr>
        <w:t>€ TTC</w:t>
      </w:r>
      <w:r w:rsidRPr="002B1A75">
        <w:rPr>
          <w:rFonts w:ascii="Arial" w:eastAsia="Times New Roman" w:hAnsi="Arial" w:cs="Arial"/>
          <w:sz w:val="20"/>
          <w:szCs w:val="20"/>
        </w:rPr>
        <w:t>, comprenait des travaux pour un montant de</w:t>
      </w:r>
      <w:r w:rsidR="00932C1B">
        <w:rPr>
          <w:rFonts w:ascii="Arial" w:eastAsia="Times New Roman" w:hAnsi="Arial" w:cs="Arial"/>
          <w:sz w:val="20"/>
          <w:szCs w:val="20"/>
        </w:rPr>
        <w:t xml:space="preserve"> </w:t>
      </w:r>
      <w:r w:rsidRPr="002B1A75">
        <w:rPr>
          <w:rFonts w:ascii="Arial" w:eastAsia="Times New Roman" w:hAnsi="Arial" w:cs="Arial"/>
          <w:color w:val="000000"/>
          <w:sz w:val="20"/>
          <w:szCs w:val="20"/>
        </w:rPr>
        <w:t>10 640 493,42</w:t>
      </w:r>
      <w:r w:rsidRPr="002B1A75">
        <w:rPr>
          <w:rFonts w:ascii="Arial" w:eastAsia="Times New Roman" w:hAnsi="Arial" w:cs="Arial"/>
          <w:sz w:val="20"/>
          <w:szCs w:val="20"/>
        </w:rPr>
        <w:t xml:space="preserve"> </w:t>
      </w:r>
      <w:r w:rsidRPr="002B1A75">
        <w:rPr>
          <w:rFonts w:ascii="Arial" w:eastAsia="Times New Roman" w:hAnsi="Arial" w:cs="Arial"/>
          <w:sz w:val="20"/>
          <w:szCs w:val="20"/>
        </w:rPr>
        <w:t xml:space="preserve">€ TTC. </w:t>
      </w:r>
    </w:p>
    <w:p w14:paraId="78FC3160" w14:textId="0A95FF34" w:rsidR="00932C1B" w:rsidRPr="00932C1B" w:rsidRDefault="00932C1B" w:rsidP="00932C1B">
      <w:pPr>
        <w:numPr>
          <w:ilvl w:val="0"/>
          <w:numId w:val="1"/>
        </w:numPr>
        <w:suppressAutoHyphens w:val="0"/>
        <w:autoSpaceDN w:val="0"/>
        <w:spacing w:before="170" w:line="259" w:lineRule="auto"/>
        <w:jc w:val="both"/>
        <w:textAlignment w:val="baseline"/>
        <w:rPr>
          <w:rFonts w:ascii="Arial" w:hAnsi="Arial" w:cs="Arial"/>
        </w:rPr>
      </w:pPr>
      <w:r w:rsidRPr="00932C1B">
        <w:rPr>
          <w:rFonts w:ascii="Arial" w:eastAsia="Calibri" w:hAnsi="Arial" w:cs="Arial"/>
          <w:kern w:val="0"/>
          <w:lang w:eastAsia="en-US"/>
        </w:rPr>
        <w:t xml:space="preserve">Montant de la subvention FEDER : </w:t>
      </w:r>
      <w:r>
        <w:rPr>
          <w:rFonts w:ascii="Arial" w:eastAsia="Calibri" w:hAnsi="Arial" w:cs="Arial"/>
          <w:kern w:val="0"/>
          <w:lang w:eastAsia="en-US"/>
        </w:rPr>
        <w:t>6 402 514,37</w:t>
      </w:r>
      <w:r w:rsidRPr="00932C1B">
        <w:rPr>
          <w:rFonts w:ascii="Arial" w:eastAsia="Calibri" w:hAnsi="Arial" w:cs="Arial"/>
          <w:kern w:val="0"/>
          <w:lang w:eastAsia="en-US"/>
        </w:rPr>
        <w:t xml:space="preserve"> € </w:t>
      </w:r>
    </w:p>
    <w:p w14:paraId="4236BCA9" w14:textId="59CCA9EF" w:rsidR="00932C1B" w:rsidRPr="00932C1B" w:rsidRDefault="00932C1B" w:rsidP="00932C1B">
      <w:pPr>
        <w:numPr>
          <w:ilvl w:val="0"/>
          <w:numId w:val="1"/>
        </w:numPr>
        <w:suppressAutoHyphens w:val="0"/>
        <w:autoSpaceDN w:val="0"/>
        <w:spacing w:before="170" w:line="259" w:lineRule="auto"/>
        <w:jc w:val="both"/>
        <w:textAlignment w:val="baseline"/>
        <w:rPr>
          <w:rFonts w:ascii="Arial" w:hAnsi="Arial" w:cs="Arial"/>
        </w:rPr>
      </w:pPr>
      <w:r w:rsidRPr="00932C1B">
        <w:rPr>
          <w:rFonts w:ascii="Arial" w:eastAsia="Calibri" w:hAnsi="Arial" w:cs="Arial"/>
          <w:kern w:val="0"/>
          <w:lang w:eastAsia="en-US"/>
        </w:rPr>
        <w:t xml:space="preserve">Montant du financement Région : </w:t>
      </w:r>
      <w:r w:rsidR="00047D64">
        <w:rPr>
          <w:rFonts w:ascii="Arial" w:eastAsia="Calibri" w:hAnsi="Arial" w:cs="Arial"/>
          <w:kern w:val="0"/>
          <w:lang w:eastAsia="en-US"/>
        </w:rPr>
        <w:t>5 179 074,52</w:t>
      </w:r>
      <w:r w:rsidRPr="00932C1B">
        <w:rPr>
          <w:rFonts w:ascii="Arial" w:eastAsia="Calibri" w:hAnsi="Arial" w:cs="Arial"/>
          <w:kern w:val="0"/>
          <w:lang w:eastAsia="en-US"/>
        </w:rPr>
        <w:t xml:space="preserve"> €</w:t>
      </w:r>
    </w:p>
    <w:p w14:paraId="358A058C" w14:textId="6B0942FB" w:rsidR="00205F7F" w:rsidRDefault="00441760">
      <w:pPr>
        <w:tabs>
          <w:tab w:val="left" w:pos="567"/>
          <w:tab w:val="left" w:pos="1985"/>
          <w:tab w:val="left" w:pos="5103"/>
        </w:tabs>
        <w:ind w:right="-2"/>
        <w:jc w:val="both"/>
        <w:rPr>
          <w:rFonts w:ascii="Century Gothic" w:hAnsi="Century Gothic" w:cs="Bookman Old Style"/>
        </w:rPr>
      </w:pPr>
      <w:r>
        <w:rPr>
          <w:noProof/>
        </w:rPr>
        <w:lastRenderedPageBreak/>
        <w:pict w14:anchorId="116D6783">
          <v:group id="Forme1" o:spid="_x0000_s1026" style="position:absolute;left:0;text-align:left;margin-left:87.35pt;margin-top:19.05pt;width:292.05pt;height:19.9pt;z-index:5;mso-wrap-distance-left:.5pt;mso-wrap-distance-top:.5pt;mso-wrap-distance-right:.5pt;mso-wrap-distance-bottom:.5pt" coordorigin="11095,2419" coordsize="37083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" o:allowincell="f">
            <v:line id="Connecteur droit 6" o:spid="_x0000_s1027" style="position:absolute;visibility:visible;mso-wrap-style:square" from="0,0" to="368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" strokecolor="#2300dc" strokeweight=".19mm">
              <v:stroke joinstyle="miter"/>
            </v:line>
            <v:group id="Groupe 7" o:spid="_x0000_s1028" style="position:absolute;top:572;width:37083;height:195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9" type="#_x0000_t202" style="position:absolute;left:12600;width:3695760;height:156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" filled="f" stroked="f" strokeweight=".35mm">
                <v:textbox style="mso-next-textbox:#Zone de texte 8" inset="0,0,0,0">
                  <w:txbxContent>
                    <w:p w14:paraId="5CB50835" w14:textId="77777777" w:rsidR="00205F7F" w:rsidRDefault="00D23D80">
                      <w:r>
                        <w:rPr>
                          <w:rFonts w:ascii="DejaVu Sans" w:eastAsia="SimSun" w:hAnsi="DejaVu Sans" w:cs="Mangal"/>
                          <w:i/>
                          <w:iCs/>
                          <w:lang w:bidi="hi-IN"/>
                        </w:rPr>
                        <w:t>Ce Projet est cofinancé par un Fonds Structurel Européen</w:t>
                      </w:r>
                    </w:p>
                  </w:txbxContent>
                </v:textbox>
              </v:shape>
              <v:line id="Connecteur droit 9" o:spid="_x0000_s1030" style="position:absolute;visibility:visible;mso-wrap-style:square" from="0,194760" to="3683160,19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" strokecolor="#2300dc" strokeweight=".19mm">
                <v:stroke joinstyle="miter"/>
              </v:line>
            </v:group>
            <w10:wrap type="square"/>
          </v:group>
        </w:pict>
      </w:r>
    </w:p>
    <w:p w14:paraId="0B03A7F3" w14:textId="77777777" w:rsidR="00205F7F" w:rsidRDefault="00205F7F"/>
    <w:sectPr w:rsidR="00205F7F" w:rsidSect="00F51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49" w:bottom="1286" w:left="1417" w:header="720" w:footer="720" w:gutter="0"/>
      <w:pgNumType w:start="1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7412" w14:textId="77777777" w:rsidR="00000000" w:rsidRDefault="00D23D80">
      <w:r>
        <w:separator/>
      </w:r>
    </w:p>
  </w:endnote>
  <w:endnote w:type="continuationSeparator" w:id="0">
    <w:p w14:paraId="53DFB5A5" w14:textId="77777777" w:rsidR="00000000" w:rsidRDefault="00D2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Regular">
    <w:charset w:val="00"/>
    <w:family w:val="auto"/>
    <w:pitch w:val="variable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FCE4" w14:textId="77777777" w:rsidR="001F5D21" w:rsidRDefault="001F5D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6DA5" w14:textId="196E6CDE" w:rsidR="00822E57" w:rsidRDefault="00822E57" w:rsidP="00822E57">
    <w:pPr>
      <w:pStyle w:val="Pieddepage"/>
      <w:pBdr>
        <w:top w:val="single" w:sz="12" w:space="1" w:color="0000FF"/>
        <w:left w:val="none" w:sz="0" w:space="0" w:color="000000"/>
        <w:bottom w:val="single" w:sz="12" w:space="1" w:color="0000FF"/>
        <w:right w:val="none" w:sz="0" w:space="0" w:color="000000"/>
      </w:pBdr>
      <w:rPr>
        <w:rFonts w:ascii="Arial" w:hAnsi="Arial" w:cs="Arial"/>
        <w:b/>
        <w:bCs/>
        <w:i/>
        <w:iCs/>
        <w:color w:val="000000"/>
        <w:sz w:val="4"/>
        <w:szCs w:val="4"/>
      </w:rPr>
    </w:pPr>
    <w:r>
      <w:rPr>
        <w:noProof/>
      </w:rPr>
      <w:drawing>
        <wp:anchor distT="0" distB="0" distL="0" distR="0" simplePos="0" relativeHeight="251667456" behindDoc="0" locked="0" layoutInCell="1" allowOverlap="1" wp14:anchorId="1F4DB723" wp14:editId="7DEA1D2E">
          <wp:simplePos x="0" y="0"/>
          <wp:positionH relativeFrom="column">
            <wp:posOffset>5177155</wp:posOffset>
          </wp:positionH>
          <wp:positionV relativeFrom="paragraph">
            <wp:posOffset>-263525</wp:posOffset>
          </wp:positionV>
          <wp:extent cx="1322705" cy="861060"/>
          <wp:effectExtent l="0" t="0" r="0" b="0"/>
          <wp:wrapSquare wrapText="largest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99" r="-75" b="-99"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861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836EB" w14:textId="35E3F1D3" w:rsidR="00822E57" w:rsidRPr="001F5D21" w:rsidRDefault="00822E57" w:rsidP="001F5D21">
    <w:pPr>
      <w:pStyle w:val="Pieddepage"/>
      <w:pBdr>
        <w:top w:val="single" w:sz="12" w:space="1" w:color="0000FF"/>
        <w:left w:val="none" w:sz="0" w:space="0" w:color="000000"/>
        <w:bottom w:val="single" w:sz="12" w:space="1" w:color="0000FF"/>
        <w:right w:val="none" w:sz="0" w:space="0" w:color="000000"/>
      </w:pBdr>
      <w:jc w:val="center"/>
      <w:rPr>
        <w:rFonts w:ascii="Arial" w:hAnsi="Arial" w:cs="Arial"/>
        <w:sz w:val="16"/>
        <w:szCs w:val="16"/>
      </w:rPr>
    </w:pPr>
    <w:r w:rsidRPr="003076D9">
      <w:rPr>
        <w:rFonts w:ascii="Arial" w:hAnsi="Arial" w:cs="Arial"/>
        <w:b/>
        <w:bCs/>
        <w:i/>
        <w:iCs/>
        <w:color w:val="000000"/>
        <w:sz w:val="16"/>
        <w:szCs w:val="16"/>
      </w:rPr>
      <w:t>Ce projet est financé par l’Union Européenne</w:t>
    </w:r>
  </w:p>
  <w:p w14:paraId="21CF98CF" w14:textId="0BE12A96" w:rsidR="00822E57" w:rsidRPr="003076D9" w:rsidRDefault="00822E57" w:rsidP="00822E57">
    <w:pPr>
      <w:pStyle w:val="Pieddepage"/>
      <w:rPr>
        <w:rFonts w:ascii="Arial" w:hAnsi="Arial" w:cs="Arial"/>
        <w:sz w:val="16"/>
        <w:szCs w:val="16"/>
      </w:rPr>
    </w:pPr>
    <w:r w:rsidRPr="003076D9">
      <w:rPr>
        <w:rFonts w:ascii="Arial" w:hAnsi="Arial" w:cs="Arial"/>
        <w:i/>
        <w:iCs/>
        <w:color w:val="333333"/>
        <w:sz w:val="16"/>
        <w:szCs w:val="16"/>
      </w:rPr>
      <w:t>FEDER 2</w:t>
    </w:r>
    <w:r w:rsidR="002B1A75">
      <w:rPr>
        <w:rFonts w:ascii="Arial" w:hAnsi="Arial" w:cs="Arial"/>
        <w:i/>
        <w:iCs/>
        <w:color w:val="333333"/>
        <w:sz w:val="16"/>
        <w:szCs w:val="16"/>
      </w:rPr>
      <w:t>014-2020</w:t>
    </w:r>
    <w:r w:rsidRPr="003076D9">
      <w:rPr>
        <w:rFonts w:ascii="Arial" w:hAnsi="Arial" w:cs="Arial"/>
        <w:i/>
        <w:iCs/>
        <w:color w:val="333333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7986" w14:textId="77777777" w:rsidR="001F5D21" w:rsidRDefault="001F5D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380D" w14:textId="77777777" w:rsidR="00000000" w:rsidRDefault="00D23D80">
      <w:r>
        <w:separator/>
      </w:r>
    </w:p>
  </w:footnote>
  <w:footnote w:type="continuationSeparator" w:id="0">
    <w:p w14:paraId="404B290F" w14:textId="77777777" w:rsidR="00000000" w:rsidRDefault="00D2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17B1" w14:textId="77777777" w:rsidR="001F5D21" w:rsidRDefault="001F5D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8106" w14:textId="77777777" w:rsidR="001F5D21" w:rsidRPr="00D23D80" w:rsidRDefault="001F5D21" w:rsidP="00D23D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DEC4" w14:textId="77777777" w:rsidR="001F5D21" w:rsidRDefault="001F5D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7140"/>
    <w:multiLevelType w:val="hybridMultilevel"/>
    <w:tmpl w:val="79B0B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F7F"/>
    <w:rsid w:val="00047D64"/>
    <w:rsid w:val="001F5D21"/>
    <w:rsid w:val="00205F7F"/>
    <w:rsid w:val="002B1A75"/>
    <w:rsid w:val="00441760"/>
    <w:rsid w:val="005D6244"/>
    <w:rsid w:val="00822E57"/>
    <w:rsid w:val="00932C1B"/>
    <w:rsid w:val="00D23D80"/>
    <w:rsid w:val="00F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6"/>
        <o:r id="V:Rule2" type="connector" idref="#Connecteur droit 9"/>
      </o:rules>
    </o:shapelayout>
  </w:shapeDefaults>
  <w:decimalSymbol w:val=","/>
  <w:listSeparator w:val=";"/>
  <w14:docId w14:val="78B3DFA3"/>
  <w15:docId w15:val="{20832554-542A-43ED-A7BF-DDA0BC1C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eastAsia="Bookman Old Style" w:hAnsi="Bookman Old Style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4z0">
    <w:name w:val="WW8Num24z0"/>
    <w:qFormat/>
    <w:rPr>
      <w:rFonts w:ascii="Bookman Old Style" w:eastAsia="Times New Roman" w:hAnsi="Bookman Old Style" w:cs="Times New Roman"/>
    </w:rPr>
  </w:style>
  <w:style w:type="character" w:customStyle="1" w:styleId="WW8Num24z1">
    <w:name w:val="WW8Num24z1"/>
    <w:qFormat/>
    <w:rPr>
      <w:rFonts w:ascii="Courier New" w:eastAsia="Courier New" w:hAnsi="Courier New" w:cs="Courier New"/>
    </w:rPr>
  </w:style>
  <w:style w:type="character" w:customStyle="1" w:styleId="WW8Num24z2">
    <w:name w:val="WW8Num24z2"/>
    <w:qFormat/>
    <w:rPr>
      <w:rFonts w:ascii="Wingdings" w:eastAsia="Wingdings" w:hAnsi="Wingdings" w:cs="Wingdings"/>
    </w:rPr>
  </w:style>
  <w:style w:type="character" w:customStyle="1" w:styleId="WW8Num24z3">
    <w:name w:val="WW8Num24z3"/>
    <w:qFormat/>
    <w:rPr>
      <w:rFonts w:ascii="Symbol" w:eastAsia="Symbol" w:hAnsi="Symbol" w:cs="Symbol"/>
    </w:rPr>
  </w:style>
  <w:style w:type="character" w:customStyle="1" w:styleId="WW8Num48z0">
    <w:name w:val="WW8Num48z0"/>
    <w:qFormat/>
    <w:rPr>
      <w:rFonts w:ascii="Bookman Old Style" w:eastAsia="Times New Roman" w:hAnsi="Bookman Old Style" w:cs="Times New Roman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48z2">
    <w:name w:val="WW8Num48z2"/>
    <w:qFormat/>
    <w:rPr>
      <w:rFonts w:ascii="Wingdings" w:eastAsia="Wingdings" w:hAnsi="Wingdings" w:cs="Wingdings"/>
    </w:rPr>
  </w:style>
  <w:style w:type="character" w:customStyle="1" w:styleId="WW8Num48z3">
    <w:name w:val="WW8Num48z3"/>
    <w:qFormat/>
    <w:rPr>
      <w:rFonts w:ascii="Symbol" w:eastAsia="Symbol" w:hAnsi="Symbol" w:cs="Symbol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Pr>
      <w:rFonts w:ascii="Courier New" w:eastAsia="Courier New" w:hAnsi="Courier New" w:cs="Courier New"/>
    </w:rPr>
  </w:style>
  <w:style w:type="character" w:customStyle="1" w:styleId="WW8Num23z2">
    <w:name w:val="WW8Num23z2"/>
    <w:qFormat/>
    <w:rPr>
      <w:rFonts w:ascii="Wingdings" w:eastAsia="Wingdings" w:hAnsi="Wingdings" w:cs="Wingdings"/>
    </w:rPr>
  </w:style>
  <w:style w:type="character" w:customStyle="1" w:styleId="WW8Num23z3">
    <w:name w:val="WW8Num23z3"/>
    <w:qFormat/>
    <w:rPr>
      <w:rFonts w:ascii="Symbol" w:eastAsia="Symbol" w:hAnsi="Symbol" w:cs="Symbol"/>
    </w:rPr>
  </w:style>
  <w:style w:type="character" w:customStyle="1" w:styleId="WW8Num31z0">
    <w:name w:val="WW8Num31z0"/>
    <w:qFormat/>
    <w:rPr>
      <w:rFonts w:ascii="Verdana" w:eastAsia="Times New Roman" w:hAnsi="Verdana" w:cs="Arial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1z2">
    <w:name w:val="WW8Num31z2"/>
    <w:qFormat/>
    <w:rPr>
      <w:rFonts w:ascii="Wingdings" w:eastAsia="Wingdings" w:hAnsi="Wingdings" w:cs="Wingdings"/>
    </w:rPr>
  </w:style>
  <w:style w:type="character" w:customStyle="1" w:styleId="WW8Num31z3">
    <w:name w:val="WW8Num31z3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1z3">
    <w:name w:val="WW8Num1z3"/>
    <w:qFormat/>
    <w:rPr>
      <w:rFonts w:ascii="Symbol" w:eastAsia="Symbol" w:hAnsi="Symbol" w:cs="Symbol"/>
    </w:rPr>
  </w:style>
  <w:style w:type="character" w:customStyle="1" w:styleId="WW8Num56z0">
    <w:name w:val="WW8Num56z0"/>
    <w:qFormat/>
    <w:rPr>
      <w:rFonts w:ascii="Wingdings 3" w:eastAsia="Wingdings 3" w:hAnsi="Wingdings 3" w:cs="Wingdings 3"/>
      <w:color w:val="000000"/>
    </w:rPr>
  </w:style>
  <w:style w:type="character" w:customStyle="1" w:styleId="WW8Num56z1">
    <w:name w:val="WW8Num56z1"/>
    <w:qFormat/>
    <w:rPr>
      <w:rFonts w:ascii="Courier New" w:eastAsia="Courier New" w:hAnsi="Courier New" w:cs="Courier New"/>
    </w:rPr>
  </w:style>
  <w:style w:type="character" w:customStyle="1" w:styleId="WW8Num56z2">
    <w:name w:val="WW8Num56z2"/>
    <w:qFormat/>
    <w:rPr>
      <w:rFonts w:ascii="Wingdings" w:eastAsia="Wingdings" w:hAnsi="Wingdings" w:cs="Wingdings"/>
    </w:rPr>
  </w:style>
  <w:style w:type="character" w:customStyle="1" w:styleId="WW8Num56z3">
    <w:name w:val="WW8Num56z3"/>
    <w:qFormat/>
    <w:rPr>
      <w:rFonts w:ascii="Symbol" w:eastAsia="Symbol" w:hAnsi="Symbol" w:cs="Symbol"/>
    </w:rPr>
  </w:style>
  <w:style w:type="character" w:customStyle="1" w:styleId="TextedebullesCar">
    <w:name w:val="Texte de bulles Car"/>
    <w:basedOn w:val="Policepardfaut"/>
    <w:qFormat/>
    <w:rPr>
      <w:rFonts w:ascii="Segoe UI" w:eastAsia="Segoe UI" w:hAnsi="Segoe UI" w:cs="Segoe UI"/>
      <w:sz w:val="18"/>
      <w:szCs w:val="16"/>
    </w:rPr>
  </w:style>
  <w:style w:type="character" w:customStyle="1" w:styleId="En-tteCar">
    <w:name w:val="En-tête Car"/>
    <w:basedOn w:val="Policepardfaut"/>
    <w:qFormat/>
    <w:rPr>
      <w:szCs w:val="21"/>
    </w:rPr>
  </w:style>
  <w:style w:type="character" w:customStyle="1" w:styleId="PieddepageCar">
    <w:name w:val="Pied de page Car"/>
    <w:basedOn w:val="Policepardfaut"/>
    <w:uiPriority w:val="99"/>
    <w:qFormat/>
    <w:rPr>
      <w:szCs w:val="21"/>
    </w:rPr>
  </w:style>
  <w:style w:type="character" w:customStyle="1" w:styleId="StandardCar">
    <w:name w:val="Standard Car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WWCharLFO1LVL1">
    <w:name w:val="WW_CharLFO1LVL1"/>
    <w:qFormat/>
    <w:rPr>
      <w:rFonts w:ascii="Bookman Old Style" w:hAnsi="Bookman Old Style" w:cs="Times New Roman"/>
    </w:rPr>
  </w:style>
  <w:style w:type="character" w:customStyle="1" w:styleId="WWCharLFO3LVL1">
    <w:name w:val="WW_CharLFO3LVL1"/>
    <w:qFormat/>
    <w:rPr>
      <w:rFonts w:ascii="Bookman Old Style" w:eastAsia="Times New Roman" w:hAnsi="Bookman Old Style" w:cs="Times New Roman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DIN-Regular" w:eastAsia="Times New Roman" w:hAnsi="DIN-Regular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Arial" w:eastAsia="Times New Roman" w:hAnsi="Arial" w:cs="Aria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Policepardfaut1">
    <w:name w:val="Police par défaut1"/>
    <w:qFormat/>
  </w:style>
  <w:style w:type="paragraph" w:customStyle="1" w:styleId="LO-Normal1">
    <w:name w:val="LO-Normal1"/>
    <w:qFormat/>
    <w:pPr>
      <w:widowControl w:val="0"/>
      <w:suppressAutoHyphens/>
    </w:p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tabs>
        <w:tab w:val="right" w:leader="dot" w:pos="9328"/>
      </w:tabs>
      <w:jc w:val="both"/>
    </w:pPr>
    <w:rPr>
      <w:rFonts w:ascii="Times;Times New Roman" w:eastAsia="Times;Times New Roman" w:hAnsi="Times;Times New Roman" w:cs="Times;Times New Roman"/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aragraphedeliste">
    <w:name w:val="List Paragraph"/>
    <w:basedOn w:val="LO-Normal1"/>
    <w:qFormat/>
    <w:pPr>
      <w:widowControl/>
      <w:ind w:left="72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WW-Standard">
    <w:name w:val="WW-Standard"/>
    <w:qFormat/>
    <w:pPr>
      <w:suppressAutoHyphens/>
      <w:spacing w:after="200" w:line="276" w:lineRule="auto"/>
    </w:pPr>
    <w:rPr>
      <w:rFonts w:ascii="Calibri" w:eastAsia="SimSun;宋体" w:hAnsi="Calibri" w:cs="Calibri"/>
      <w:sz w:val="22"/>
      <w:szCs w:val="22"/>
      <w:lang w:bidi="ar-SA"/>
    </w:r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LO-Normal1"/>
    <w:qFormat/>
    <w:rPr>
      <w:rFonts w:ascii="Segoe UI" w:eastAsia="Segoe UI" w:hAnsi="Segoe UI" w:cs="Segoe UI"/>
      <w:sz w:val="18"/>
      <w:szCs w:val="16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LO-Normal1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LO-Normal1"/>
    <w:pPr>
      <w:tabs>
        <w:tab w:val="center" w:pos="4536"/>
        <w:tab w:val="right" w:pos="9072"/>
      </w:tabs>
    </w:pPr>
    <w:rPr>
      <w:szCs w:val="21"/>
    </w:rPr>
  </w:style>
  <w:style w:type="paragraph" w:customStyle="1" w:styleId="DocumentMap">
    <w:name w:val="DocumentMap"/>
    <w:qFormat/>
    <w:pPr>
      <w:widowControl w:val="0"/>
      <w:textAlignment w:val="baseline"/>
    </w:pPr>
    <w:rPr>
      <w:rFonts w:cs="Liberation Serif"/>
    </w:rPr>
  </w:style>
  <w:style w:type="paragraph" w:customStyle="1" w:styleId="TableauNormal1">
    <w:name w:val="Tableau Normal1"/>
    <w:qFormat/>
    <w:rPr>
      <w:rFonts w:ascii="Times New Roman" w:eastAsia="Courier New" w:hAnsi="Times New Roman" w:cs="Times New Roman"/>
      <w:sz w:val="20"/>
      <w:szCs w:val="20"/>
      <w:lang w:eastAsia="fr-FR" w:bidi="ar-SA"/>
    </w:rPr>
  </w:style>
  <w:style w:type="paragraph" w:customStyle="1" w:styleId="LO-Normal">
    <w:name w:val="LO-Normal"/>
    <w:qFormat/>
    <w:pPr>
      <w:suppressAutoHyphens/>
      <w:textAlignment w:val="baseline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«1»</vt:lpstr>
    </vt:vector>
  </TitlesOfParts>
  <Company>Region_Reunion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«1»</dc:title>
  <dc:subject/>
  <dc:creator>Packard Bell NEC Inc.</dc:creator>
  <dc:description/>
  <cp:lastModifiedBy>Marie-Francoise MOUTOUCOMARAPOULE</cp:lastModifiedBy>
  <cp:revision>47</cp:revision>
  <cp:lastPrinted>2022-01-19T12:04:00Z</cp:lastPrinted>
  <dcterms:created xsi:type="dcterms:W3CDTF">2023-06-06T17:48:00Z</dcterms:created>
  <dcterms:modified xsi:type="dcterms:W3CDTF">2025-09-29T10:27:00Z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